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D43F0" w:rsidRDefault="00BB40D7">
      <w:pPr>
        <w:pStyle w:val="Normale1"/>
        <w:tabs>
          <w:tab w:val="left" w:pos="7230"/>
        </w:tabs>
        <w:spacing w:after="120"/>
        <w:jc w:val="right"/>
      </w:pPr>
      <w:r>
        <w:rPr>
          <w:b/>
          <w:sz w:val="24"/>
          <w:szCs w:val="24"/>
          <w:u w:val="single"/>
        </w:rPr>
        <w:t>Allegato A</w:t>
      </w:r>
    </w:p>
    <w:p w:rsidR="00CD43F0" w:rsidRDefault="00CD43F0">
      <w:pPr>
        <w:pStyle w:val="Normale1"/>
        <w:tabs>
          <w:tab w:val="left" w:pos="7230"/>
        </w:tabs>
        <w:spacing w:after="120"/>
        <w:jc w:val="both"/>
      </w:pPr>
    </w:p>
    <w:p w:rsidR="00CD43F0" w:rsidRDefault="00BB40D7">
      <w:pPr>
        <w:pStyle w:val="Normale1"/>
        <w:tabs>
          <w:tab w:val="left" w:pos="7230"/>
        </w:tabs>
        <w:spacing w:after="120" w:line="240" w:lineRule="auto"/>
        <w:jc w:val="center"/>
      </w:pPr>
      <w:r>
        <w:rPr>
          <w:b/>
          <w:color w:val="4F6228"/>
          <w:sz w:val="24"/>
          <w:szCs w:val="24"/>
          <w:u w:val="single"/>
        </w:rPr>
        <w:t>SCHEDA PROGETTO</w:t>
      </w:r>
    </w:p>
    <w:p w:rsidR="00CD43F0" w:rsidRDefault="00CD43F0">
      <w:pPr>
        <w:pStyle w:val="Normale1"/>
        <w:tabs>
          <w:tab w:val="left" w:pos="7230"/>
        </w:tabs>
        <w:spacing w:after="120"/>
        <w:jc w:val="center"/>
      </w:pPr>
    </w:p>
    <w:tbl>
      <w:tblPr>
        <w:tblStyle w:val="a0"/>
        <w:tblW w:w="14992" w:type="dxa"/>
        <w:jc w:val="center"/>
        <w:tblInd w:w="0" w:type="dxa"/>
        <w:tblBorders>
          <w:top w:val="single" w:sz="12" w:space="0" w:color="4F6228"/>
          <w:left w:val="single" w:sz="12" w:space="0" w:color="4F6228"/>
          <w:bottom w:val="single" w:sz="12" w:space="0" w:color="4F6228"/>
          <w:right w:val="single" w:sz="12" w:space="0" w:color="4F6228"/>
          <w:insideH w:val="single" w:sz="12" w:space="0" w:color="4F6228"/>
          <w:insideV w:val="single" w:sz="12" w:space="0" w:color="4F6228"/>
        </w:tblBorders>
        <w:tblLayout w:type="fixed"/>
        <w:tblLook w:val="0400"/>
      </w:tblPr>
      <w:tblGrid>
        <w:gridCol w:w="14992"/>
      </w:tblGrid>
      <w:tr w:rsidR="00CD43F0" w:rsidTr="00267467">
        <w:trPr>
          <w:trHeight w:val="4620"/>
          <w:jc w:val="center"/>
        </w:trPr>
        <w:tc>
          <w:tcPr>
            <w:tcW w:w="14992" w:type="dxa"/>
            <w:shd w:val="clear" w:color="auto" w:fill="D7E3BC"/>
          </w:tcPr>
          <w:p w:rsidR="00CD43F0" w:rsidRDefault="00BB40D7">
            <w:pPr>
              <w:pStyle w:val="Normale1"/>
              <w:tabs>
                <w:tab w:val="left" w:pos="7230"/>
              </w:tabs>
              <w:spacing w:after="120"/>
              <w:jc w:val="center"/>
            </w:pPr>
            <w:r>
              <w:rPr>
                <w:b/>
                <w:color w:val="4F6228"/>
                <w:sz w:val="24"/>
                <w:szCs w:val="24"/>
                <w:u w:val="single"/>
              </w:rPr>
              <w:t>Indicazione della rete di istituzioni scolastiche secondarie di secondo grado proponenti e delle istituzioni scolastiche partecipanti</w:t>
            </w:r>
            <w:r>
              <w:rPr>
                <w:b/>
                <w:color w:val="4F6228"/>
                <w:sz w:val="24"/>
                <w:szCs w:val="24"/>
              </w:rPr>
              <w:t>:</w:t>
            </w:r>
          </w:p>
          <w:p w:rsidR="00CD43F0" w:rsidRDefault="00CD43F0">
            <w:pPr>
              <w:pStyle w:val="Normale1"/>
              <w:tabs>
                <w:tab w:val="left" w:pos="7230"/>
              </w:tabs>
              <w:spacing w:after="120"/>
              <w:jc w:val="both"/>
            </w:pPr>
          </w:p>
          <w:tbl>
            <w:tblPr>
              <w:tblStyle w:val="a"/>
              <w:tblW w:w="14595" w:type="dxa"/>
              <w:tblInd w:w="0" w:type="dxa"/>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ayout w:type="fixed"/>
              <w:tblLook w:val="0400"/>
            </w:tblPr>
            <w:tblGrid>
              <w:gridCol w:w="2546"/>
              <w:gridCol w:w="12049"/>
            </w:tblGrid>
            <w:tr w:rsidR="00CD43F0">
              <w:trPr>
                <w:trHeight w:val="500"/>
              </w:trPr>
              <w:tc>
                <w:tcPr>
                  <w:tcW w:w="2546" w:type="dxa"/>
                </w:tcPr>
                <w:p w:rsidR="00CD43F0" w:rsidRDefault="00BB40D7">
                  <w:pPr>
                    <w:pStyle w:val="Normale1"/>
                    <w:tabs>
                      <w:tab w:val="left" w:pos="7230"/>
                    </w:tabs>
                    <w:spacing w:after="120"/>
                    <w:jc w:val="both"/>
                  </w:pPr>
                  <w:r>
                    <w:rPr>
                      <w:b/>
                      <w:color w:val="4F6228"/>
                      <w:sz w:val="24"/>
                      <w:szCs w:val="24"/>
                    </w:rPr>
                    <w:t xml:space="preserve">Scuola capofila: </w:t>
                  </w:r>
                </w:p>
              </w:tc>
              <w:tc>
                <w:tcPr>
                  <w:tcW w:w="12049" w:type="dxa"/>
                </w:tcPr>
                <w:p w:rsidR="00CD43F0" w:rsidRDefault="00BB40D7">
                  <w:pPr>
                    <w:pStyle w:val="Normale1"/>
                    <w:tabs>
                      <w:tab w:val="left" w:pos="7230"/>
                    </w:tabs>
                    <w:spacing w:after="120"/>
                    <w:jc w:val="both"/>
                  </w:pPr>
                  <w:r>
                    <w:rPr>
                      <w:b/>
                      <w:color w:val="4F6228"/>
                      <w:sz w:val="24"/>
                      <w:szCs w:val="24"/>
                    </w:rPr>
                    <w:t>1.</w:t>
                  </w:r>
                  <w:r>
                    <w:t xml:space="preserve"> ISTITUTO DI ISTRUZIONE SUPERIORE  “L. NOBILI” con sede in REGGIO EMILIA via MAKELLÈ 10 – REGGIO EMILIA</w:t>
                  </w:r>
                </w:p>
              </w:tc>
            </w:tr>
            <w:tr w:rsidR="00CD43F0">
              <w:trPr>
                <w:trHeight w:val="360"/>
              </w:trPr>
              <w:tc>
                <w:tcPr>
                  <w:tcW w:w="2546" w:type="dxa"/>
                  <w:vMerge w:val="restart"/>
                </w:tcPr>
                <w:p w:rsidR="00CD43F0" w:rsidRDefault="00BB40D7">
                  <w:pPr>
                    <w:pStyle w:val="Normale1"/>
                    <w:tabs>
                      <w:tab w:val="left" w:pos="7230"/>
                    </w:tabs>
                    <w:spacing w:after="120"/>
                  </w:pPr>
                  <w:r>
                    <w:rPr>
                      <w:b/>
                      <w:color w:val="4F6228"/>
                      <w:sz w:val="24"/>
                      <w:szCs w:val="24"/>
                    </w:rPr>
                    <w:t>Scuole secondarie di secondo grado proponenti:</w:t>
                  </w:r>
                </w:p>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rPr>
                      <w:b/>
                      <w:color w:val="4F6228"/>
                      <w:sz w:val="24"/>
                      <w:szCs w:val="24"/>
                    </w:rPr>
                    <w:t>2.</w:t>
                  </w:r>
                  <w:r>
                    <w:t xml:space="preserve"> ISTITUTO DI ISTRUZIONE SUPERIORE “P. GOBETTI” -  con sede in SCANDIANO (RE) via della REPUBBLICA 41</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rPr>
                      <w:b/>
                      <w:color w:val="4F6228"/>
                      <w:sz w:val="24"/>
                      <w:szCs w:val="24"/>
                    </w:rPr>
                    <w:t>3.</w:t>
                  </w:r>
                  <w:r>
                    <w:t xml:space="preserve"> ISTITUTO DI ISTRUZIONE SUPERIORE “S. D’ARZO” con sede in MONTECCHIO EMILIA (RE) via STRADA SANT’ILARO 28</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rPr>
                      <w:b/>
                      <w:color w:val="4F6228"/>
                      <w:sz w:val="24"/>
                      <w:szCs w:val="24"/>
                    </w:rPr>
                    <w:t xml:space="preserve">4. </w:t>
                  </w:r>
                  <w:r>
                    <w:t>ISTITUTO DI ISTRUZIONE SUPERIORE “B. RUSSELL” con sede in GUASTALLA (RE) via SACCO E VANZETTI 1</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rPr>
                      <w:b/>
                      <w:color w:val="4F6228"/>
                      <w:sz w:val="24"/>
                      <w:szCs w:val="24"/>
                    </w:rPr>
                    <w:t xml:space="preserve">5. </w:t>
                  </w:r>
                  <w:r>
                    <w:t>ISTITUTO PROFESSIONALE STATALE “M. CARRARA” con sede in GUASTALLA (RE) via SACCO E VANZETTI 1</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rPr>
                      <w:b/>
                      <w:color w:val="4F6228"/>
                      <w:sz w:val="24"/>
                      <w:szCs w:val="24"/>
                    </w:rPr>
                    <w:t xml:space="preserve">6. </w:t>
                  </w:r>
                  <w:r>
                    <w:t>ISTITUTO TECNICO STATALE “L. EINAUDI” con sede in CORREGGIO (RE) via PRATI 2</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rPr>
                      <w:b/>
                      <w:color w:val="4F6228"/>
                      <w:sz w:val="24"/>
                      <w:szCs w:val="24"/>
                    </w:rPr>
                    <w:t>7.</w:t>
                  </w:r>
                  <w:r>
                    <w:t xml:space="preserve"> ISTITUTO DI ISTRUZIONE SUPERIORE “B. PASCAL”  con sede in REGGIO EMILIA via MAKALLÈ 12</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rPr>
                      <w:b/>
                      <w:color w:val="4F6228"/>
                      <w:sz w:val="24"/>
                      <w:szCs w:val="24"/>
                    </w:rPr>
                    <w:t>8.</w:t>
                  </w:r>
                  <w:r>
                    <w:t xml:space="preserve"> CONVITTO NAZIONALE “R. CORSO”  con sede in CORREGGIO (RE)  via BERNIERI 8</w:t>
                  </w:r>
                </w:p>
              </w:tc>
            </w:tr>
            <w:tr w:rsidR="00CD43F0">
              <w:trPr>
                <w:trHeight w:val="360"/>
              </w:trPr>
              <w:tc>
                <w:tcPr>
                  <w:tcW w:w="2546" w:type="dxa"/>
                  <w:vMerge w:val="restart"/>
                </w:tcPr>
                <w:p w:rsidR="00CD43F0" w:rsidRDefault="00BB40D7">
                  <w:pPr>
                    <w:pStyle w:val="Normale1"/>
                    <w:tabs>
                      <w:tab w:val="left" w:pos="7230"/>
                    </w:tabs>
                    <w:spacing w:after="120"/>
                    <w:jc w:val="both"/>
                  </w:pPr>
                  <w:r>
                    <w:rPr>
                      <w:b/>
                      <w:color w:val="4F6228"/>
                      <w:sz w:val="24"/>
                      <w:szCs w:val="24"/>
                    </w:rPr>
                    <w:t>Altre scuole coinvolte nella rete:</w:t>
                  </w:r>
                  <w:r>
                    <w:rPr>
                      <w:b/>
                      <w:sz w:val="24"/>
                      <w:szCs w:val="24"/>
                    </w:rPr>
                    <w:t xml:space="preserve"> </w:t>
                  </w:r>
                </w:p>
              </w:tc>
              <w:tc>
                <w:tcPr>
                  <w:tcW w:w="12049" w:type="dxa"/>
                </w:tcPr>
                <w:p w:rsidR="00CD43F0" w:rsidRDefault="00BB40D7">
                  <w:pPr>
                    <w:pStyle w:val="Normale1"/>
                    <w:tabs>
                      <w:tab w:val="left" w:pos="7230"/>
                    </w:tabs>
                    <w:spacing w:after="120"/>
                    <w:jc w:val="both"/>
                  </w:pPr>
                  <w:r>
                    <w:t xml:space="preserve">ISTITUTO COMPRENSIVO “FERMI” – REGGIO EMILIA </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“CORREGGIO 1” – CORREGGIO (RE) </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“DON PASQUINO BORGHI” – RIVALTA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PROFESSIONALE “MANDELA” – CASTELNOVO NÉ MONTI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“ALBINEA” – ALBINEA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“NOVELLARA” – NOVELLARA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“GUALTIERI” – GUALTIERI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“TOSCHI - BAISO VIANO” – BAISO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“EINSTEIN” – REGGIO EMILIA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“PERTINI 1” – REGGIO EMILIA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“L. SPALLANZANI” – SCANDIANO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“SAN MARTINO IN RIO” – SAN MARTINO IN RIO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“PERTINI 2” – REGGIO EMILIA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“QUATTRO CASTELLA VEZZANO” – QUATTRO CASTELLA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“POVIGLIO e BRESCELLO” – POVIGLIO (RE) </w:t>
                  </w:r>
                  <w:r>
                    <w:rPr>
                      <w:b/>
                    </w:rPr>
                    <w:t>(Nuova adesione)</w:t>
                  </w:r>
                </w:p>
              </w:tc>
            </w:tr>
            <w:tr w:rsidR="00CD43F0">
              <w:trPr>
                <w:trHeight w:val="36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“CASTELNOVO DI SOTTO” – CASTELNOVO DI SOTTO (RE)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“J.F. KENNEDY” – REGGIO EMILIA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“LEONARDO DA VINCI” – REGGIO EMILIA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“MANZONI” – REGGIO EMILIA </w:t>
                  </w:r>
                  <w:r>
                    <w:rPr>
                      <w:b/>
                    </w:rPr>
                    <w:t>(Nuova adesione)</w:t>
                  </w:r>
                </w:p>
              </w:tc>
            </w:tr>
            <w:tr w:rsidR="00CD43F0">
              <w:trPr>
                <w:trHeight w:val="120"/>
              </w:trPr>
              <w:tc>
                <w:tcPr>
                  <w:tcW w:w="2546" w:type="dxa"/>
                  <w:vMerge/>
                </w:tcPr>
                <w:p w:rsidR="00CD43F0" w:rsidRDefault="00CD43F0">
                  <w:pPr>
                    <w:pStyle w:val="Normale1"/>
                    <w:tabs>
                      <w:tab w:val="left" w:pos="7230"/>
                    </w:tabs>
                    <w:spacing w:after="120"/>
                    <w:jc w:val="both"/>
                  </w:pPr>
                </w:p>
              </w:tc>
              <w:tc>
                <w:tcPr>
                  <w:tcW w:w="12049" w:type="dxa"/>
                </w:tcPr>
                <w:p w:rsidR="00CD43F0" w:rsidRDefault="00BB40D7">
                  <w:pPr>
                    <w:pStyle w:val="Normale1"/>
                    <w:tabs>
                      <w:tab w:val="left" w:pos="7230"/>
                    </w:tabs>
                    <w:spacing w:after="120"/>
                    <w:jc w:val="both"/>
                  </w:pPr>
                  <w:r>
                    <w:t xml:space="preserve">ISTITUTO COMPRENSIVO “I. CALVINO” – FABBRICO (RE) </w:t>
                  </w:r>
                  <w:r>
                    <w:rPr>
                      <w:b/>
                    </w:rPr>
                    <w:t>(Nuova adesione)</w:t>
                  </w:r>
                </w:p>
              </w:tc>
            </w:tr>
          </w:tbl>
          <w:p w:rsidR="00CD43F0" w:rsidRDefault="00CD43F0">
            <w:pPr>
              <w:pStyle w:val="Normale1"/>
              <w:tabs>
                <w:tab w:val="left" w:pos="2460"/>
              </w:tabs>
              <w:spacing w:after="120"/>
              <w:jc w:val="both"/>
            </w:pPr>
          </w:p>
        </w:tc>
      </w:tr>
    </w:tbl>
    <w:p w:rsidR="00CD43F0" w:rsidRDefault="00BB40D7">
      <w:pPr>
        <w:pStyle w:val="Normale1"/>
      </w:pPr>
      <w:r>
        <w:lastRenderedPageBreak/>
        <w:br w:type="page"/>
      </w:r>
    </w:p>
    <w:tbl>
      <w:tblPr>
        <w:tblStyle w:val="a1"/>
        <w:tblW w:w="14994" w:type="dxa"/>
        <w:jc w:val="center"/>
        <w:tblInd w:w="0" w:type="dxa"/>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ayout w:type="fixed"/>
        <w:tblLook w:val="0400"/>
      </w:tblPr>
      <w:tblGrid>
        <w:gridCol w:w="2660"/>
        <w:gridCol w:w="2284"/>
        <w:gridCol w:w="3045"/>
        <w:gridCol w:w="7005"/>
      </w:tblGrid>
      <w:tr w:rsidR="00CD43F0" w:rsidTr="00267467">
        <w:trPr>
          <w:jc w:val="center"/>
        </w:trPr>
        <w:tc>
          <w:tcPr>
            <w:tcW w:w="14994" w:type="dxa"/>
            <w:gridSpan w:val="4"/>
            <w:shd w:val="clear" w:color="auto" w:fill="D7E3BC"/>
          </w:tcPr>
          <w:p w:rsidR="00CD43F0" w:rsidRDefault="00BB40D7">
            <w:pPr>
              <w:pStyle w:val="Normale1"/>
              <w:tabs>
                <w:tab w:val="left" w:pos="7230"/>
              </w:tabs>
              <w:spacing w:after="120"/>
              <w:jc w:val="center"/>
            </w:pPr>
            <w:r>
              <w:rPr>
                <w:b/>
                <w:i/>
                <w:color w:val="4F6228"/>
                <w:sz w:val="28"/>
                <w:szCs w:val="28"/>
              </w:rPr>
              <w:lastRenderedPageBreak/>
              <w:t xml:space="preserve">Partner </w:t>
            </w:r>
            <w:r>
              <w:rPr>
                <w:b/>
                <w:color w:val="4F6228"/>
                <w:sz w:val="28"/>
                <w:szCs w:val="28"/>
              </w:rPr>
              <w:t>coinvolti</w:t>
            </w:r>
          </w:p>
        </w:tc>
      </w:tr>
      <w:tr w:rsidR="00CD43F0" w:rsidTr="00267467">
        <w:trPr>
          <w:jc w:val="center"/>
        </w:trPr>
        <w:tc>
          <w:tcPr>
            <w:tcW w:w="2660" w:type="dxa"/>
            <w:vMerge w:val="restart"/>
            <w:shd w:val="clear" w:color="auto" w:fill="D7E3BC"/>
          </w:tcPr>
          <w:p w:rsidR="00CD43F0" w:rsidRDefault="00BB40D7">
            <w:pPr>
              <w:pStyle w:val="Normale1"/>
              <w:tabs>
                <w:tab w:val="left" w:pos="7230"/>
              </w:tabs>
              <w:spacing w:after="120"/>
              <w:jc w:val="both"/>
            </w:pPr>
            <w:r>
              <w:rPr>
                <w:b/>
                <w:i/>
                <w:color w:val="4F6228"/>
                <w:sz w:val="24"/>
                <w:szCs w:val="24"/>
              </w:rPr>
              <w:t>Partner</w:t>
            </w:r>
            <w:r>
              <w:rPr>
                <w:b/>
                <w:color w:val="4F6228"/>
                <w:sz w:val="24"/>
                <w:szCs w:val="24"/>
              </w:rPr>
              <w:t xml:space="preserve"> pubblici e privati coinvolti </w:t>
            </w:r>
          </w:p>
        </w:tc>
        <w:tc>
          <w:tcPr>
            <w:tcW w:w="2284" w:type="dxa"/>
            <w:shd w:val="clear" w:color="auto" w:fill="D7E3BC"/>
          </w:tcPr>
          <w:p w:rsidR="00CD43F0" w:rsidRDefault="00BB40D7">
            <w:pPr>
              <w:pStyle w:val="Normale1"/>
              <w:tabs>
                <w:tab w:val="left" w:pos="2460"/>
              </w:tabs>
              <w:spacing w:after="120"/>
              <w:jc w:val="both"/>
            </w:pPr>
            <w:r>
              <w:rPr>
                <w:b/>
                <w:color w:val="4F6228"/>
                <w:sz w:val="24"/>
                <w:szCs w:val="24"/>
              </w:rPr>
              <w:t>Denominazione</w:t>
            </w:r>
          </w:p>
        </w:tc>
        <w:tc>
          <w:tcPr>
            <w:tcW w:w="3045" w:type="dxa"/>
            <w:shd w:val="clear" w:color="auto" w:fill="D7E3BC"/>
          </w:tcPr>
          <w:p w:rsidR="00CD43F0" w:rsidRDefault="00BB40D7">
            <w:pPr>
              <w:pStyle w:val="Normale1"/>
              <w:tabs>
                <w:tab w:val="left" w:pos="2460"/>
              </w:tabs>
              <w:spacing w:after="120"/>
              <w:jc w:val="both"/>
            </w:pPr>
            <w:r>
              <w:rPr>
                <w:b/>
                <w:color w:val="4F6228"/>
                <w:sz w:val="24"/>
                <w:szCs w:val="24"/>
              </w:rPr>
              <w:t xml:space="preserve">Indicare se trattasi di </w:t>
            </w:r>
            <w:r>
              <w:rPr>
                <w:b/>
                <w:i/>
                <w:color w:val="4F6228"/>
                <w:sz w:val="24"/>
                <w:szCs w:val="24"/>
              </w:rPr>
              <w:t>partne</w:t>
            </w:r>
            <w:r>
              <w:rPr>
                <w:b/>
                <w:color w:val="4F6228"/>
                <w:sz w:val="24"/>
                <w:szCs w:val="24"/>
              </w:rPr>
              <w:t>r già presente nella precedente fase o nuovo</w:t>
            </w:r>
          </w:p>
        </w:tc>
        <w:tc>
          <w:tcPr>
            <w:tcW w:w="7005" w:type="dxa"/>
            <w:shd w:val="clear" w:color="auto" w:fill="D7E3BC"/>
          </w:tcPr>
          <w:p w:rsidR="00CD43F0" w:rsidRDefault="00BB40D7">
            <w:pPr>
              <w:pStyle w:val="Normale1"/>
              <w:tabs>
                <w:tab w:val="left" w:pos="2460"/>
              </w:tabs>
              <w:jc w:val="both"/>
            </w:pPr>
            <w:r>
              <w:rPr>
                <w:b/>
                <w:color w:val="4F6228"/>
                <w:sz w:val="24"/>
                <w:szCs w:val="24"/>
              </w:rPr>
              <w:t xml:space="preserve">Se nuovo </w:t>
            </w:r>
            <w:r>
              <w:rPr>
                <w:b/>
                <w:i/>
                <w:color w:val="4F6228"/>
                <w:sz w:val="24"/>
                <w:szCs w:val="24"/>
              </w:rPr>
              <w:t>partner</w:t>
            </w:r>
            <w:r>
              <w:rPr>
                <w:b/>
                <w:color w:val="4F6228"/>
                <w:sz w:val="24"/>
                <w:szCs w:val="24"/>
              </w:rPr>
              <w:t>, indicarne motivazione rispetto alle finalità del progetto e alla realizzazione dello stesso</w:t>
            </w:r>
          </w:p>
          <w:p w:rsidR="00CD43F0" w:rsidRDefault="00BB40D7">
            <w:pPr>
              <w:pStyle w:val="Normale1"/>
              <w:tabs>
                <w:tab w:val="left" w:pos="2460"/>
              </w:tabs>
              <w:jc w:val="both"/>
            </w:pPr>
            <w:r>
              <w:rPr>
                <w:b/>
                <w:color w:val="4F6228"/>
                <w:sz w:val="24"/>
                <w:szCs w:val="24"/>
              </w:rPr>
              <w:t xml:space="preserve">(articolo 4, comma 2, lett. </w:t>
            </w:r>
            <w:r>
              <w:rPr>
                <w:b/>
                <w:i/>
                <w:color w:val="4F6228"/>
                <w:sz w:val="24"/>
                <w:szCs w:val="24"/>
              </w:rPr>
              <w:t>a</w:t>
            </w:r>
            <w:r>
              <w:rPr>
                <w:b/>
                <w:color w:val="4F6228"/>
                <w:sz w:val="24"/>
                <w:szCs w:val="24"/>
              </w:rPr>
              <w:t>), max 5 punti)</w:t>
            </w:r>
          </w:p>
        </w:tc>
      </w:tr>
      <w:tr w:rsidR="00CD43F0" w:rsidTr="00267467">
        <w:trPr>
          <w:jc w:val="center"/>
        </w:trPr>
        <w:tc>
          <w:tcPr>
            <w:tcW w:w="2660" w:type="dxa"/>
            <w:vMerge/>
            <w:shd w:val="clear" w:color="auto" w:fill="D7E3BC"/>
          </w:tcPr>
          <w:p w:rsidR="00CD43F0" w:rsidRDefault="00CD43F0">
            <w:pPr>
              <w:pStyle w:val="Normale1"/>
              <w:tabs>
                <w:tab w:val="left" w:pos="7230"/>
              </w:tabs>
              <w:spacing w:after="120"/>
              <w:jc w:val="both"/>
            </w:pPr>
          </w:p>
        </w:tc>
        <w:tc>
          <w:tcPr>
            <w:tcW w:w="2284" w:type="dxa"/>
            <w:shd w:val="clear" w:color="auto" w:fill="D7E3BC"/>
          </w:tcPr>
          <w:p w:rsidR="00CD43F0" w:rsidRDefault="00BB40D7">
            <w:pPr>
              <w:pStyle w:val="Normale1"/>
              <w:tabs>
                <w:tab w:val="left" w:pos="2460"/>
              </w:tabs>
              <w:spacing w:after="120"/>
            </w:pPr>
            <w:r>
              <w:rPr>
                <w:sz w:val="24"/>
                <w:szCs w:val="24"/>
              </w:rPr>
              <w:t xml:space="preserve">Argo Tractors Spa </w:t>
            </w:r>
          </w:p>
        </w:tc>
        <w:tc>
          <w:tcPr>
            <w:tcW w:w="3045" w:type="dxa"/>
            <w:shd w:val="clear" w:color="auto" w:fill="D7E3BC"/>
          </w:tcPr>
          <w:p w:rsidR="00CD43F0" w:rsidRDefault="00BB40D7">
            <w:pPr>
              <w:pStyle w:val="Normale1"/>
              <w:tabs>
                <w:tab w:val="left" w:pos="2460"/>
              </w:tabs>
              <w:spacing w:after="120"/>
              <w:jc w:val="both"/>
            </w:pPr>
            <w:r>
              <w:rPr>
                <w:sz w:val="24"/>
                <w:szCs w:val="24"/>
              </w:rPr>
              <w:t>Nuovo partner</w:t>
            </w:r>
          </w:p>
        </w:tc>
        <w:tc>
          <w:tcPr>
            <w:tcW w:w="7005" w:type="dxa"/>
            <w:shd w:val="clear" w:color="auto" w:fill="D7E3BC"/>
          </w:tcPr>
          <w:p w:rsidR="00CD43F0" w:rsidRDefault="00BB40D7">
            <w:pPr>
              <w:pStyle w:val="Normale1"/>
              <w:tabs>
                <w:tab w:val="left" w:pos="2460"/>
              </w:tabs>
              <w:spacing w:after="120"/>
              <w:jc w:val="both"/>
            </w:pPr>
            <w:r>
              <w:rPr>
                <w:sz w:val="24"/>
                <w:szCs w:val="24"/>
              </w:rPr>
              <w:t xml:space="preserve">L’azienda si impegna a collaborare al progetto conferendo persone, competenze e attività, con particolare riferimento: a) alla identificazione dei fabbisogni professionali e formativi; b) alla co-progettazione e realizzazione di attività, anche in alternanza scuola-lavoro, volte a favorire l’acquisizione delle competenze richieste dalle imprese della filiera di riferimento. </w:t>
            </w:r>
          </w:p>
          <w:p w:rsidR="00CD43F0" w:rsidRDefault="00BB40D7">
            <w:pPr>
              <w:pStyle w:val="Normale1"/>
              <w:tabs>
                <w:tab w:val="left" w:pos="2460"/>
              </w:tabs>
              <w:spacing w:after="120"/>
              <w:jc w:val="both"/>
            </w:pPr>
            <w:r>
              <w:rPr>
                <w:sz w:val="24"/>
                <w:szCs w:val="24"/>
              </w:rPr>
              <w:t>Argo Tractors è un’azienda leader nel settore della meccanica agricola. Essa ha sviluppato una radicata e documentata interazione con le scuole secondarie di secondo grado, con l’ITS, l’università e centri di ricerca e di trasferimento tecnologico.</w:t>
            </w:r>
          </w:p>
        </w:tc>
      </w:tr>
      <w:tr w:rsidR="00CD43F0" w:rsidTr="00267467">
        <w:trPr>
          <w:jc w:val="center"/>
        </w:trPr>
        <w:tc>
          <w:tcPr>
            <w:tcW w:w="2660" w:type="dxa"/>
            <w:vMerge/>
            <w:shd w:val="clear" w:color="auto" w:fill="D7E3BC"/>
          </w:tcPr>
          <w:p w:rsidR="00CD43F0" w:rsidRDefault="00CD43F0">
            <w:pPr>
              <w:pStyle w:val="Normale1"/>
              <w:tabs>
                <w:tab w:val="left" w:pos="7230"/>
              </w:tabs>
              <w:spacing w:after="120"/>
              <w:jc w:val="both"/>
            </w:pPr>
          </w:p>
        </w:tc>
        <w:tc>
          <w:tcPr>
            <w:tcW w:w="2284" w:type="dxa"/>
            <w:shd w:val="clear" w:color="auto" w:fill="D7E3BC"/>
          </w:tcPr>
          <w:p w:rsidR="00CD43F0" w:rsidRDefault="00BB40D7">
            <w:pPr>
              <w:pStyle w:val="Normale1"/>
              <w:tabs>
                <w:tab w:val="left" w:pos="2460"/>
              </w:tabs>
              <w:spacing w:after="120"/>
            </w:pPr>
            <w:r>
              <w:rPr>
                <w:sz w:val="24"/>
                <w:szCs w:val="24"/>
              </w:rPr>
              <w:t>Comer Industries Spa</w:t>
            </w:r>
          </w:p>
        </w:tc>
        <w:tc>
          <w:tcPr>
            <w:tcW w:w="3045" w:type="dxa"/>
            <w:shd w:val="clear" w:color="auto" w:fill="D7E3BC"/>
          </w:tcPr>
          <w:p w:rsidR="00CD43F0" w:rsidRDefault="00BB40D7">
            <w:pPr>
              <w:pStyle w:val="Normale1"/>
              <w:tabs>
                <w:tab w:val="left" w:pos="2460"/>
              </w:tabs>
              <w:spacing w:after="120"/>
              <w:jc w:val="both"/>
            </w:pPr>
            <w:r>
              <w:rPr>
                <w:sz w:val="24"/>
                <w:szCs w:val="24"/>
              </w:rPr>
              <w:t>Nuovo partner</w:t>
            </w:r>
          </w:p>
        </w:tc>
        <w:tc>
          <w:tcPr>
            <w:tcW w:w="7005" w:type="dxa"/>
            <w:shd w:val="clear" w:color="auto" w:fill="D7E3BC"/>
          </w:tcPr>
          <w:p w:rsidR="00CD43F0" w:rsidRDefault="00BB40D7">
            <w:pPr>
              <w:pStyle w:val="Normale1"/>
              <w:tabs>
                <w:tab w:val="left" w:pos="2460"/>
              </w:tabs>
              <w:spacing w:after="120"/>
              <w:jc w:val="both"/>
            </w:pPr>
            <w:r>
              <w:rPr>
                <w:sz w:val="24"/>
                <w:szCs w:val="24"/>
              </w:rPr>
              <w:t xml:space="preserve">L’azienda si impegna a collaborare al progetto conferendo persone, competenze e attività, con particolare riferimento: a) alla identificazione dei fabbisogni professionali e formativi; b) alla co-progettazione e realizzazione di attività, anche in alternanza scuola-lavoro, volte a favorire l’acquisizione delle competenze richieste dalle imprese della filiera di riferimento. </w:t>
            </w:r>
          </w:p>
          <w:p w:rsidR="00CD43F0" w:rsidRDefault="00BB40D7">
            <w:pPr>
              <w:pStyle w:val="Normale1"/>
              <w:tabs>
                <w:tab w:val="left" w:pos="2460"/>
              </w:tabs>
              <w:spacing w:after="120"/>
              <w:jc w:val="both"/>
            </w:pPr>
            <w:r>
              <w:rPr>
                <w:sz w:val="24"/>
                <w:szCs w:val="24"/>
              </w:rPr>
              <w:t>Comer Industries è un’azienda leader internazionale nel settore della progettazione e produzione di sistemi meccatronici per le trasmissioni di potenza. Essa ha sviluppato una radicata e documentata interazione con le scuole secondarie di secondo grado, con l’ITS, l’università e centri di ricerca e di trasferimento tecnologico.</w:t>
            </w:r>
          </w:p>
        </w:tc>
      </w:tr>
      <w:tr w:rsidR="00CD43F0" w:rsidTr="00267467">
        <w:trPr>
          <w:jc w:val="center"/>
        </w:trPr>
        <w:tc>
          <w:tcPr>
            <w:tcW w:w="2660" w:type="dxa"/>
            <w:vMerge/>
            <w:shd w:val="clear" w:color="auto" w:fill="D7E3BC"/>
          </w:tcPr>
          <w:p w:rsidR="00CD43F0" w:rsidRDefault="00CD43F0">
            <w:pPr>
              <w:pStyle w:val="Normale1"/>
              <w:tabs>
                <w:tab w:val="left" w:pos="7230"/>
              </w:tabs>
              <w:spacing w:after="120"/>
              <w:jc w:val="both"/>
            </w:pPr>
          </w:p>
        </w:tc>
        <w:tc>
          <w:tcPr>
            <w:tcW w:w="2284" w:type="dxa"/>
            <w:shd w:val="clear" w:color="auto" w:fill="D7E3BC"/>
          </w:tcPr>
          <w:p w:rsidR="00CD43F0" w:rsidRDefault="00BB40D7">
            <w:pPr>
              <w:pStyle w:val="Normale1"/>
              <w:tabs>
                <w:tab w:val="left" w:pos="2460"/>
              </w:tabs>
              <w:spacing w:after="120"/>
              <w:jc w:val="both"/>
            </w:pPr>
            <w:r>
              <w:rPr>
                <w:sz w:val="24"/>
                <w:szCs w:val="24"/>
              </w:rPr>
              <w:t>Corghi Spa</w:t>
            </w:r>
          </w:p>
        </w:tc>
        <w:tc>
          <w:tcPr>
            <w:tcW w:w="3045" w:type="dxa"/>
            <w:shd w:val="clear" w:color="auto" w:fill="D7E3BC"/>
          </w:tcPr>
          <w:p w:rsidR="00CD43F0" w:rsidRDefault="00BB40D7">
            <w:pPr>
              <w:pStyle w:val="Normale1"/>
              <w:tabs>
                <w:tab w:val="left" w:pos="2460"/>
              </w:tabs>
              <w:spacing w:after="120"/>
              <w:jc w:val="both"/>
            </w:pPr>
            <w:r>
              <w:rPr>
                <w:sz w:val="24"/>
                <w:szCs w:val="24"/>
              </w:rPr>
              <w:t>Nuovo partner</w:t>
            </w:r>
          </w:p>
        </w:tc>
        <w:tc>
          <w:tcPr>
            <w:tcW w:w="7005" w:type="dxa"/>
            <w:shd w:val="clear" w:color="auto" w:fill="D7E3BC"/>
          </w:tcPr>
          <w:p w:rsidR="00CD43F0" w:rsidRDefault="00BB40D7">
            <w:pPr>
              <w:pStyle w:val="Normale1"/>
              <w:tabs>
                <w:tab w:val="left" w:pos="2460"/>
              </w:tabs>
              <w:spacing w:after="120"/>
              <w:jc w:val="both"/>
            </w:pPr>
            <w:r>
              <w:rPr>
                <w:sz w:val="24"/>
                <w:szCs w:val="24"/>
              </w:rPr>
              <w:t xml:space="preserve">L’azienda si impegna a collaborare al progetto conferendo persone, competenze e attività, con particolare riferimento: a) alla identificazione dei fabbisogni professionali e formativi; b) alla co-progettazione e realizzazione di attività, anche in alternanza scuola-lavoro, volte a favorire l’acquisizione delle competenze richieste dalle </w:t>
            </w:r>
            <w:r>
              <w:rPr>
                <w:sz w:val="24"/>
                <w:szCs w:val="24"/>
              </w:rPr>
              <w:lastRenderedPageBreak/>
              <w:t>imprese della filiera di riferimento.</w:t>
            </w:r>
          </w:p>
          <w:p w:rsidR="00CD43F0" w:rsidRDefault="00BB40D7">
            <w:pPr>
              <w:pStyle w:val="Normale1"/>
              <w:tabs>
                <w:tab w:val="left" w:pos="2460"/>
              </w:tabs>
              <w:spacing w:after="120"/>
              <w:jc w:val="both"/>
            </w:pPr>
            <w:r>
              <w:rPr>
                <w:sz w:val="24"/>
                <w:szCs w:val="24"/>
              </w:rPr>
              <w:t>Corghi è leader mondiale nel settore delle attrezzature per autofficina. Essa ha sviluppato una radicata e documentata interazione con le scuole secondarie di secondo grado, con l’ITS, l’università e centri di ricerca e di trasferimento tecnologico.</w:t>
            </w:r>
          </w:p>
        </w:tc>
      </w:tr>
      <w:tr w:rsidR="00CD43F0" w:rsidTr="00267467">
        <w:trPr>
          <w:jc w:val="center"/>
        </w:trPr>
        <w:tc>
          <w:tcPr>
            <w:tcW w:w="2660" w:type="dxa"/>
            <w:vMerge/>
            <w:shd w:val="clear" w:color="auto" w:fill="D7E3BC"/>
          </w:tcPr>
          <w:p w:rsidR="00CD43F0" w:rsidRDefault="00CD43F0">
            <w:pPr>
              <w:pStyle w:val="Normale1"/>
              <w:tabs>
                <w:tab w:val="left" w:pos="7230"/>
              </w:tabs>
              <w:spacing w:after="120"/>
              <w:jc w:val="both"/>
            </w:pPr>
          </w:p>
        </w:tc>
        <w:tc>
          <w:tcPr>
            <w:tcW w:w="2284" w:type="dxa"/>
            <w:shd w:val="clear" w:color="auto" w:fill="D7E3BC"/>
          </w:tcPr>
          <w:p w:rsidR="00CD43F0" w:rsidRDefault="00BB40D7">
            <w:pPr>
              <w:pStyle w:val="Normale1"/>
              <w:tabs>
                <w:tab w:val="left" w:pos="2460"/>
              </w:tabs>
              <w:spacing w:after="120"/>
            </w:pPr>
            <w:r>
              <w:rPr>
                <w:sz w:val="24"/>
                <w:szCs w:val="24"/>
              </w:rPr>
              <w:t>RE:Lab Srl</w:t>
            </w:r>
          </w:p>
        </w:tc>
        <w:tc>
          <w:tcPr>
            <w:tcW w:w="3045" w:type="dxa"/>
            <w:shd w:val="clear" w:color="auto" w:fill="D7E3BC"/>
          </w:tcPr>
          <w:p w:rsidR="00CD43F0" w:rsidRDefault="00BB40D7">
            <w:pPr>
              <w:pStyle w:val="Normale1"/>
              <w:tabs>
                <w:tab w:val="left" w:pos="2460"/>
              </w:tabs>
              <w:spacing w:after="120"/>
              <w:jc w:val="both"/>
            </w:pPr>
            <w:r>
              <w:rPr>
                <w:sz w:val="24"/>
                <w:szCs w:val="24"/>
              </w:rPr>
              <w:t>Nuovo partner</w:t>
            </w:r>
          </w:p>
        </w:tc>
        <w:tc>
          <w:tcPr>
            <w:tcW w:w="7005" w:type="dxa"/>
            <w:shd w:val="clear" w:color="auto" w:fill="D7E3BC"/>
          </w:tcPr>
          <w:p w:rsidR="00CD43F0" w:rsidRDefault="00BB40D7">
            <w:pPr>
              <w:pStyle w:val="Normale1"/>
              <w:tabs>
                <w:tab w:val="left" w:pos="2460"/>
              </w:tabs>
              <w:spacing w:after="120"/>
              <w:jc w:val="both"/>
            </w:pPr>
            <w:r>
              <w:rPr>
                <w:sz w:val="24"/>
                <w:szCs w:val="24"/>
              </w:rPr>
              <w:t>L’azienda si impegna a collaborare al progetto conferendo persone, competenze e attività, con particolare riferimento: a) alla identificazione dei fabbisogni professionali e formativi; b) alla co-progettazione e realizzazione di attività, anche in alternanza scuola-lavoro, volte a favorire l’acquisizione delle competenze richieste dalle imprese. RE:Lab è un’azienda che opera nell’Internet delle cose (sviluppo di piattaforme digitali e di  API in grado di creare valore per le imprese, esportando e rendendo visibili i loro dati attraverso la rete). La sua presenza è di fondamentale importanza perché le soluzioni sviluppate consentono di dare una identità digitale ai settori della meccanica, meccatronica, oleodinamica, meccanica agricola diffusi sul territorio.</w:t>
            </w:r>
          </w:p>
        </w:tc>
      </w:tr>
      <w:tr w:rsidR="00CD43F0" w:rsidTr="00267467">
        <w:trPr>
          <w:jc w:val="center"/>
        </w:trPr>
        <w:tc>
          <w:tcPr>
            <w:tcW w:w="2660" w:type="dxa"/>
            <w:vMerge/>
            <w:shd w:val="clear" w:color="auto" w:fill="D7E3BC"/>
          </w:tcPr>
          <w:p w:rsidR="00CD43F0" w:rsidRDefault="00CD43F0">
            <w:pPr>
              <w:pStyle w:val="Normale1"/>
              <w:tabs>
                <w:tab w:val="left" w:pos="7230"/>
              </w:tabs>
              <w:spacing w:after="120"/>
              <w:jc w:val="both"/>
            </w:pPr>
          </w:p>
        </w:tc>
        <w:tc>
          <w:tcPr>
            <w:tcW w:w="2284" w:type="dxa"/>
            <w:shd w:val="clear" w:color="auto" w:fill="D7E3BC"/>
          </w:tcPr>
          <w:p w:rsidR="00CD43F0" w:rsidRDefault="00BB40D7">
            <w:pPr>
              <w:pStyle w:val="Normale1"/>
              <w:tabs>
                <w:tab w:val="left" w:pos="2460"/>
              </w:tabs>
              <w:spacing w:after="120"/>
            </w:pPr>
            <w:r>
              <w:rPr>
                <w:sz w:val="24"/>
                <w:szCs w:val="24"/>
              </w:rPr>
              <w:t>Lombardini Srl a socio unico</w:t>
            </w:r>
          </w:p>
        </w:tc>
        <w:tc>
          <w:tcPr>
            <w:tcW w:w="3045" w:type="dxa"/>
            <w:shd w:val="clear" w:color="auto" w:fill="D7E3BC"/>
          </w:tcPr>
          <w:p w:rsidR="00CD43F0" w:rsidRDefault="00BB40D7">
            <w:pPr>
              <w:pStyle w:val="Normale1"/>
              <w:tabs>
                <w:tab w:val="left" w:pos="2460"/>
              </w:tabs>
              <w:spacing w:after="120"/>
              <w:jc w:val="both"/>
            </w:pPr>
            <w:r>
              <w:rPr>
                <w:sz w:val="24"/>
                <w:szCs w:val="24"/>
              </w:rPr>
              <w:t>Nuovo partner</w:t>
            </w:r>
          </w:p>
        </w:tc>
        <w:tc>
          <w:tcPr>
            <w:tcW w:w="7005" w:type="dxa"/>
            <w:shd w:val="clear" w:color="auto" w:fill="D7E3BC"/>
          </w:tcPr>
          <w:p w:rsidR="00CD43F0" w:rsidRDefault="00BB40D7">
            <w:pPr>
              <w:pStyle w:val="Normale1"/>
              <w:tabs>
                <w:tab w:val="left" w:pos="2460"/>
              </w:tabs>
              <w:spacing w:after="120"/>
              <w:jc w:val="both"/>
            </w:pPr>
            <w:r>
              <w:rPr>
                <w:sz w:val="24"/>
                <w:szCs w:val="24"/>
              </w:rPr>
              <w:t xml:space="preserve">L’azienda si impegna a collaborare al progetto conferendo persone, competenze e attività, con particolare riferimento: a) alla identificazione dei fabbisogni professionali e formativi; b) alla co-progettazione e realizzazione di attività, anche in alternanza scuola-lavoro, volte a favorire l’acquisizione delle competenze richieste dalle imprese della filiera di riferimento </w:t>
            </w:r>
          </w:p>
          <w:p w:rsidR="00CD43F0" w:rsidRDefault="00BB40D7">
            <w:pPr>
              <w:pStyle w:val="Normale1"/>
              <w:tabs>
                <w:tab w:val="left" w:pos="2460"/>
              </w:tabs>
              <w:spacing w:after="120"/>
              <w:jc w:val="both"/>
            </w:pPr>
            <w:r>
              <w:rPr>
                <w:sz w:val="24"/>
                <w:szCs w:val="24"/>
              </w:rPr>
              <w:t>Lombardini è un’azienda leader internazionale nella produzione di motori endotermici. Essa ha sviluppato una radicata e documentata interazione con le scuole secondarie di secondo grado, con l’ITS, l’università e centri di ricerca e di trasferimento tecnologico.</w:t>
            </w:r>
          </w:p>
        </w:tc>
      </w:tr>
      <w:tr w:rsidR="00CD43F0" w:rsidTr="00267467">
        <w:trPr>
          <w:jc w:val="center"/>
        </w:trPr>
        <w:tc>
          <w:tcPr>
            <w:tcW w:w="2660" w:type="dxa"/>
            <w:vMerge/>
            <w:shd w:val="clear" w:color="auto" w:fill="D7E3BC"/>
          </w:tcPr>
          <w:p w:rsidR="00CD43F0" w:rsidRDefault="00CD43F0">
            <w:pPr>
              <w:pStyle w:val="Normale1"/>
              <w:tabs>
                <w:tab w:val="left" w:pos="7230"/>
              </w:tabs>
              <w:spacing w:after="120"/>
              <w:jc w:val="both"/>
            </w:pPr>
          </w:p>
        </w:tc>
        <w:tc>
          <w:tcPr>
            <w:tcW w:w="2284" w:type="dxa"/>
            <w:shd w:val="clear" w:color="auto" w:fill="D7E3BC"/>
          </w:tcPr>
          <w:p w:rsidR="00CD43F0" w:rsidRDefault="00BB40D7">
            <w:pPr>
              <w:pStyle w:val="Normale1"/>
              <w:tabs>
                <w:tab w:val="left" w:pos="2460"/>
              </w:tabs>
              <w:spacing w:after="120"/>
              <w:jc w:val="both"/>
            </w:pPr>
            <w:r>
              <w:rPr>
                <w:sz w:val="24"/>
                <w:szCs w:val="24"/>
              </w:rPr>
              <w:t>Walvoil Spa</w:t>
            </w:r>
          </w:p>
        </w:tc>
        <w:tc>
          <w:tcPr>
            <w:tcW w:w="3045" w:type="dxa"/>
            <w:shd w:val="clear" w:color="auto" w:fill="D7E3BC"/>
          </w:tcPr>
          <w:p w:rsidR="00CD43F0" w:rsidRDefault="00BB40D7">
            <w:pPr>
              <w:pStyle w:val="Normale1"/>
              <w:tabs>
                <w:tab w:val="left" w:pos="2460"/>
              </w:tabs>
              <w:spacing w:after="120"/>
              <w:jc w:val="both"/>
            </w:pPr>
            <w:r>
              <w:rPr>
                <w:sz w:val="24"/>
                <w:szCs w:val="24"/>
              </w:rPr>
              <w:t>Nuovo partner</w:t>
            </w:r>
          </w:p>
        </w:tc>
        <w:tc>
          <w:tcPr>
            <w:tcW w:w="7005" w:type="dxa"/>
            <w:shd w:val="clear" w:color="auto" w:fill="D7E3BC"/>
          </w:tcPr>
          <w:p w:rsidR="00CD43F0" w:rsidRDefault="00BB40D7">
            <w:pPr>
              <w:pStyle w:val="Normale1"/>
              <w:tabs>
                <w:tab w:val="left" w:pos="2460"/>
              </w:tabs>
              <w:spacing w:after="120"/>
              <w:jc w:val="both"/>
            </w:pPr>
            <w:r>
              <w:rPr>
                <w:sz w:val="24"/>
                <w:szCs w:val="24"/>
              </w:rPr>
              <w:t>L’azienda si impegna a collaborare con la rete di scuole conferendo persone, competenze e attività, con particolare riferimento: a) alla identificazione dei fabbisogni professionali e formativi; b) alla co-progettazione e realizzazione di attività, anche in alternanza scuola-</w:t>
            </w:r>
            <w:r>
              <w:rPr>
                <w:sz w:val="24"/>
                <w:szCs w:val="24"/>
              </w:rPr>
              <w:lastRenderedPageBreak/>
              <w:t>lavoro, volte a favorire l’acquisizione delle competenze richieste dalle imprese della filiera di riferimento.</w:t>
            </w:r>
          </w:p>
          <w:p w:rsidR="00CD43F0" w:rsidRDefault="00BB40D7">
            <w:pPr>
              <w:pStyle w:val="Normale1"/>
              <w:tabs>
                <w:tab w:val="left" w:pos="2460"/>
              </w:tabs>
              <w:spacing w:after="120"/>
              <w:jc w:val="both"/>
            </w:pPr>
            <w:r>
              <w:rPr>
                <w:sz w:val="24"/>
                <w:szCs w:val="24"/>
              </w:rPr>
              <w:t>Walvoil, azienda di Interpump Group, è uno dei principali player mondiali dell’oleodinamica. Essa che ha sviluppato una radicata e documentata interazione con le scuole secondarie di secondo grado, con l’ITS, l’università e centri di ricerca e di trasferimento tecnologico.</w:t>
            </w:r>
          </w:p>
        </w:tc>
      </w:tr>
      <w:tr w:rsidR="00B63202" w:rsidTr="00267467">
        <w:trPr>
          <w:trHeight w:val="2320"/>
          <w:jc w:val="center"/>
        </w:trPr>
        <w:tc>
          <w:tcPr>
            <w:tcW w:w="2660" w:type="dxa"/>
            <w:vMerge w:val="restart"/>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Pr="00B63202" w:rsidRDefault="00B63202">
            <w:pPr>
              <w:pStyle w:val="Normale1"/>
              <w:tabs>
                <w:tab w:val="left" w:pos="2460"/>
              </w:tabs>
              <w:spacing w:after="120"/>
              <w:jc w:val="both"/>
              <w:rPr>
                <w:lang w:val="en-US"/>
              </w:rPr>
            </w:pPr>
            <w:r w:rsidRPr="00B63202">
              <w:rPr>
                <w:sz w:val="24"/>
                <w:szCs w:val="24"/>
                <w:lang w:val="en-US"/>
              </w:rPr>
              <w:t>GPI Technology s.r.l.</w:t>
            </w:r>
          </w:p>
        </w:tc>
        <w:tc>
          <w:tcPr>
            <w:tcW w:w="3045" w:type="dxa"/>
            <w:shd w:val="clear" w:color="auto" w:fill="D7E3BC"/>
          </w:tcPr>
          <w:p w:rsidR="00B63202" w:rsidRDefault="00B63202">
            <w:pPr>
              <w:pStyle w:val="Normale1"/>
              <w:tabs>
                <w:tab w:val="left" w:pos="2460"/>
              </w:tabs>
              <w:spacing w:after="120"/>
              <w:jc w:val="both"/>
            </w:pPr>
            <w:r>
              <w:rPr>
                <w:sz w:val="24"/>
                <w:szCs w:val="24"/>
              </w:rPr>
              <w:t>Nuovo partner</w:t>
            </w:r>
          </w:p>
        </w:tc>
        <w:tc>
          <w:tcPr>
            <w:tcW w:w="7005" w:type="dxa"/>
            <w:shd w:val="clear" w:color="auto" w:fill="D7E3BC"/>
          </w:tcPr>
          <w:p w:rsidR="00B63202" w:rsidRDefault="00B63202">
            <w:pPr>
              <w:pStyle w:val="Normale1"/>
              <w:tabs>
                <w:tab w:val="left" w:pos="2460"/>
              </w:tabs>
              <w:spacing w:after="120"/>
              <w:jc w:val="both"/>
            </w:pPr>
            <w:r>
              <w:rPr>
                <w:sz w:val="24"/>
                <w:szCs w:val="24"/>
              </w:rPr>
              <w:t>GPI Technology s.r.l. è un’azienda con larga diffusione sul territorio nazionale che si occupa della realizzazione e della manutenzione di infrastrutture informatiche.</w:t>
            </w:r>
          </w:p>
          <w:p w:rsidR="00B63202" w:rsidRDefault="00B63202">
            <w:pPr>
              <w:pStyle w:val="Normale1"/>
              <w:tabs>
                <w:tab w:val="left" w:pos="2460"/>
              </w:tabs>
              <w:spacing w:after="120"/>
              <w:jc w:val="both"/>
            </w:pPr>
            <w:r>
              <w:rPr>
                <w:sz w:val="24"/>
                <w:szCs w:val="24"/>
              </w:rPr>
              <w:t>L’azienda mantiene costanti rapporti con le scuole partecipando allo studio e allo sviluppo di progetti formativi per la diffusione delle competenze informatiche.</w:t>
            </w:r>
          </w:p>
          <w:p w:rsidR="00B63202" w:rsidRDefault="00B63202">
            <w:pPr>
              <w:pStyle w:val="Normale1"/>
              <w:tabs>
                <w:tab w:val="left" w:pos="2460"/>
              </w:tabs>
              <w:spacing w:after="120"/>
              <w:jc w:val="both"/>
            </w:pPr>
            <w:r>
              <w:rPr>
                <w:sz w:val="24"/>
                <w:szCs w:val="24"/>
              </w:rPr>
              <w:t>L’azienda propone la realizzazione e offre il supporto per la realizzazione di applicazioni web, open source e cloud based, finalizzate al supporto, all’assistenza e alla manutenzione post vendita.</w:t>
            </w:r>
          </w:p>
        </w:tc>
      </w:tr>
      <w:tr w:rsidR="00B63202" w:rsidTr="00267467">
        <w:trPr>
          <w:trHeight w:val="1860"/>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jc w:val="both"/>
            </w:pPr>
            <w:r>
              <w:rPr>
                <w:sz w:val="24"/>
                <w:szCs w:val="24"/>
              </w:rPr>
              <w:t>PROGEL S.p.a.</w:t>
            </w:r>
          </w:p>
        </w:tc>
        <w:tc>
          <w:tcPr>
            <w:tcW w:w="3045" w:type="dxa"/>
            <w:shd w:val="clear" w:color="auto" w:fill="D7E3BC"/>
          </w:tcPr>
          <w:p w:rsidR="00B63202" w:rsidRDefault="00B63202">
            <w:pPr>
              <w:pStyle w:val="Normale1"/>
              <w:tabs>
                <w:tab w:val="left" w:pos="2460"/>
              </w:tabs>
              <w:spacing w:after="120"/>
              <w:jc w:val="both"/>
            </w:pPr>
            <w:r>
              <w:rPr>
                <w:sz w:val="24"/>
                <w:szCs w:val="24"/>
              </w:rPr>
              <w:t>Nuovo partner</w:t>
            </w:r>
          </w:p>
        </w:tc>
        <w:tc>
          <w:tcPr>
            <w:tcW w:w="7005" w:type="dxa"/>
            <w:shd w:val="clear" w:color="auto" w:fill="D7E3BC"/>
          </w:tcPr>
          <w:p w:rsidR="00B63202" w:rsidRDefault="00B63202">
            <w:pPr>
              <w:pStyle w:val="Normale1"/>
              <w:tabs>
                <w:tab w:val="left" w:pos="2460"/>
              </w:tabs>
              <w:spacing w:after="120"/>
              <w:jc w:val="both"/>
            </w:pPr>
            <w:r>
              <w:rPr>
                <w:sz w:val="24"/>
                <w:szCs w:val="24"/>
              </w:rPr>
              <w:t>Progel S.p.a. è un’azienda che opera nel campo delle piattaforme Cloud, erogando servizi e infrastrutture ai propri clienti.</w:t>
            </w:r>
          </w:p>
          <w:p w:rsidR="00B63202" w:rsidRDefault="00B63202">
            <w:pPr>
              <w:pStyle w:val="Normale1"/>
              <w:tabs>
                <w:tab w:val="left" w:pos="2460"/>
              </w:tabs>
              <w:jc w:val="both"/>
            </w:pPr>
            <w:r>
              <w:rPr>
                <w:sz w:val="24"/>
                <w:szCs w:val="24"/>
              </w:rPr>
              <w:t>L’azienda si impegna mettere a disposizione persone e competenze di alto profilo per la realizzazione di  workshop e seminari mirati alla progettazione e alla realizzazione di infrastrutture condivise in grado di operare attraverso il cloud.</w:t>
            </w:r>
          </w:p>
        </w:tc>
      </w:tr>
      <w:tr w:rsidR="00B63202" w:rsidTr="00267467">
        <w:trPr>
          <w:trHeight w:val="2320"/>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Impact Hub - The Hub Reggio Emilia società cooperativa</w:t>
            </w:r>
          </w:p>
        </w:tc>
        <w:tc>
          <w:tcPr>
            <w:tcW w:w="3045" w:type="dxa"/>
            <w:shd w:val="clear" w:color="auto" w:fill="D7E3BC"/>
          </w:tcPr>
          <w:p w:rsidR="00B63202" w:rsidRDefault="00B63202">
            <w:pPr>
              <w:pStyle w:val="Normale1"/>
              <w:tabs>
                <w:tab w:val="left" w:pos="2460"/>
              </w:tabs>
              <w:spacing w:after="120"/>
              <w:jc w:val="both"/>
            </w:pPr>
            <w:r>
              <w:rPr>
                <w:sz w:val="24"/>
                <w:szCs w:val="24"/>
              </w:rPr>
              <w:t>Nuovo partner</w:t>
            </w:r>
          </w:p>
        </w:tc>
        <w:tc>
          <w:tcPr>
            <w:tcW w:w="7005" w:type="dxa"/>
            <w:shd w:val="clear" w:color="auto" w:fill="D7E3BC"/>
          </w:tcPr>
          <w:p w:rsidR="00B63202" w:rsidRDefault="00B63202">
            <w:pPr>
              <w:pStyle w:val="Normale1"/>
              <w:tabs>
                <w:tab w:val="left" w:pos="2460"/>
              </w:tabs>
              <w:spacing w:after="120"/>
              <w:jc w:val="both"/>
            </w:pPr>
            <w:r>
              <w:rPr>
                <w:sz w:val="24"/>
                <w:szCs w:val="24"/>
              </w:rPr>
              <w:t xml:space="preserve">The Hub di Reggio Emilia società cooperativa fa parte del network Impact Hub, network internazionale di spazi per il coworking. </w:t>
            </w:r>
          </w:p>
          <w:p w:rsidR="00B63202" w:rsidRDefault="00B63202">
            <w:pPr>
              <w:pStyle w:val="Normale1"/>
              <w:tabs>
                <w:tab w:val="left" w:pos="2460"/>
              </w:tabs>
              <w:spacing w:after="120"/>
              <w:jc w:val="both"/>
            </w:pPr>
            <w:r>
              <w:rPr>
                <w:sz w:val="24"/>
                <w:szCs w:val="24"/>
              </w:rPr>
              <w:t>L’azienda si impegna a organizzare eventi formativi promuovendo le metodologie didattiche più efficaci utilizzate dalle principali aziende a livello globale e finalizzate allo sviluppo di idee innovative.</w:t>
            </w:r>
          </w:p>
          <w:p w:rsidR="00B63202" w:rsidRDefault="00B63202">
            <w:pPr>
              <w:pStyle w:val="Normale1"/>
              <w:tabs>
                <w:tab w:val="left" w:pos="2460"/>
              </w:tabs>
              <w:spacing w:after="120"/>
              <w:jc w:val="both"/>
            </w:pPr>
            <w:r>
              <w:rPr>
                <w:sz w:val="24"/>
                <w:szCs w:val="24"/>
              </w:rPr>
              <w:t xml:space="preserve">La formazione proposta è mirata alla progettualià, all’ideazione e alla ricerca di nuove soluzioni, nonché alla produzione e alla </w:t>
            </w:r>
            <w:r>
              <w:rPr>
                <w:sz w:val="24"/>
                <w:szCs w:val="24"/>
              </w:rPr>
              <w:lastRenderedPageBreak/>
              <w:t>presentazione delle proprie idee con l’intento di promuovere l’autoimprenditorialità, lo sviluppo di startup e la ricerca di fondi.</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jc w:val="both"/>
            </w:pPr>
            <w:r>
              <w:rPr>
                <w:sz w:val="24"/>
                <w:szCs w:val="24"/>
              </w:rPr>
              <w:t>Landi Renzo Spa</w:t>
            </w:r>
          </w:p>
        </w:tc>
        <w:tc>
          <w:tcPr>
            <w:tcW w:w="3045" w:type="dxa"/>
            <w:shd w:val="clear" w:color="auto" w:fill="D7E3BC"/>
          </w:tcPr>
          <w:p w:rsidR="00B63202" w:rsidRDefault="00B63202">
            <w:pPr>
              <w:pStyle w:val="Normale1"/>
              <w:tabs>
                <w:tab w:val="left" w:pos="2460"/>
              </w:tabs>
              <w:spacing w:after="120"/>
              <w:jc w:val="both"/>
            </w:pPr>
            <w:r>
              <w:rPr>
                <w:sz w:val="24"/>
                <w:szCs w:val="24"/>
              </w:rPr>
              <w:t>Nuovo partner</w:t>
            </w:r>
          </w:p>
        </w:tc>
        <w:tc>
          <w:tcPr>
            <w:tcW w:w="7005" w:type="dxa"/>
            <w:shd w:val="clear" w:color="auto" w:fill="D7E3BC"/>
          </w:tcPr>
          <w:p w:rsidR="00B63202" w:rsidRDefault="00B63202">
            <w:pPr>
              <w:pStyle w:val="Normale1"/>
              <w:tabs>
                <w:tab w:val="left" w:pos="2460"/>
              </w:tabs>
              <w:spacing w:after="120"/>
              <w:jc w:val="both"/>
            </w:pPr>
            <w:r>
              <w:rPr>
                <w:sz w:val="24"/>
                <w:szCs w:val="24"/>
              </w:rPr>
              <w:t xml:space="preserve">L’azienda si impegna a collaborare al progetto conferendo persone, competenze e attività, con particolare riferimento: a) alla identificazione dei fabbisogni professionali e formativi; b) alla co-progettazione e realizzazione di attività, anche in alternanza scuola-lavoro, volte a favorire l’acquisizione delle competenze richieste dalle imprese della filiera di riferimento. </w:t>
            </w:r>
          </w:p>
          <w:p w:rsidR="00B63202" w:rsidRDefault="00B63202">
            <w:pPr>
              <w:pStyle w:val="Normale1"/>
              <w:tabs>
                <w:tab w:val="left" w:pos="2460"/>
              </w:tabs>
              <w:spacing w:after="120"/>
              <w:jc w:val="both"/>
            </w:pPr>
            <w:r>
              <w:rPr>
                <w:sz w:val="24"/>
                <w:szCs w:val="24"/>
              </w:rPr>
              <w:t>Landi Renzo è leader mondiale, con una quota internazionale di mercato pari a circa il 30%, nel settore dei componenti e dei sistemi di alimentazione alternativi a Gpl e Metano per autotrazione. Essa ha sviluppato una radicata e documentata interazione con le scuole secondarie di secondo grado, con l’ITS, l’università e centri di ricerca e di trasferimento tecnologico.</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jc w:val="both"/>
            </w:pPr>
            <w:r>
              <w:rPr>
                <w:sz w:val="24"/>
                <w:szCs w:val="24"/>
              </w:rPr>
              <w:t>Elettric 80</w:t>
            </w:r>
          </w:p>
        </w:tc>
        <w:tc>
          <w:tcPr>
            <w:tcW w:w="3045" w:type="dxa"/>
            <w:shd w:val="clear" w:color="auto" w:fill="D7E3BC"/>
          </w:tcPr>
          <w:p w:rsidR="00B63202" w:rsidRDefault="00B63202">
            <w:pPr>
              <w:pStyle w:val="Normale1"/>
              <w:tabs>
                <w:tab w:val="left" w:pos="2460"/>
              </w:tabs>
              <w:spacing w:after="120"/>
              <w:jc w:val="both"/>
            </w:pPr>
            <w:r>
              <w:rPr>
                <w:sz w:val="24"/>
                <w:szCs w:val="24"/>
              </w:rPr>
              <w:t>Nuovo partner</w:t>
            </w:r>
          </w:p>
        </w:tc>
        <w:tc>
          <w:tcPr>
            <w:tcW w:w="7005" w:type="dxa"/>
            <w:shd w:val="clear" w:color="auto" w:fill="D7E3BC"/>
          </w:tcPr>
          <w:p w:rsidR="00B63202" w:rsidRDefault="00B63202">
            <w:pPr>
              <w:pStyle w:val="Normale1"/>
              <w:tabs>
                <w:tab w:val="left" w:pos="2460"/>
              </w:tabs>
              <w:spacing w:after="120"/>
              <w:jc w:val="both"/>
            </w:pPr>
            <w:r>
              <w:rPr>
                <w:sz w:val="24"/>
                <w:szCs w:val="24"/>
              </w:rPr>
              <w:t xml:space="preserve">L’azienda si impegna a collaborare al progetto conferendo persone, competenze e attività, con particolare riferimento: a) alla identificazione dei fabbisogni professionali e formativi; b) alla co-progettazione e realizzazione di attività, anche in alternanza scuola-lavoro, volte a favorire l’acquisizione delle competenze richieste dalle imprese della filiera di riferimento. </w:t>
            </w:r>
          </w:p>
          <w:p w:rsidR="00B63202" w:rsidRDefault="00B63202">
            <w:pPr>
              <w:pStyle w:val="Normale1"/>
              <w:tabs>
                <w:tab w:val="left" w:pos="2460"/>
              </w:tabs>
              <w:spacing w:after="120"/>
              <w:jc w:val="both"/>
            </w:pPr>
            <w:r>
              <w:rPr>
                <w:sz w:val="24"/>
                <w:szCs w:val="24"/>
              </w:rPr>
              <w:t>Elettric 80 è un'azienda multinazionale che progetta e realizza soluzioni di automazione integrata. Essa ha sviluppato una radicata e documentata interazione con le scuole secondarie di secondo grado, con l’ITS, l’università e centri di ricerca e di trasferimento tecnologico.</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jc w:val="both"/>
            </w:pPr>
            <w:r>
              <w:rPr>
                <w:sz w:val="24"/>
                <w:szCs w:val="24"/>
              </w:rPr>
              <w:t>Bema</w:t>
            </w:r>
          </w:p>
        </w:tc>
        <w:tc>
          <w:tcPr>
            <w:tcW w:w="3045" w:type="dxa"/>
            <w:shd w:val="clear" w:color="auto" w:fill="D7E3BC"/>
          </w:tcPr>
          <w:p w:rsidR="00B63202" w:rsidRDefault="00B63202">
            <w:pPr>
              <w:pStyle w:val="Normale1"/>
              <w:tabs>
                <w:tab w:val="left" w:pos="2460"/>
              </w:tabs>
              <w:spacing w:after="120"/>
              <w:jc w:val="both"/>
            </w:pPr>
            <w:r>
              <w:rPr>
                <w:sz w:val="24"/>
                <w:szCs w:val="24"/>
              </w:rPr>
              <w:t>Nuovo partner</w:t>
            </w:r>
          </w:p>
        </w:tc>
        <w:tc>
          <w:tcPr>
            <w:tcW w:w="7005" w:type="dxa"/>
            <w:shd w:val="clear" w:color="auto" w:fill="D7E3BC"/>
          </w:tcPr>
          <w:p w:rsidR="00B63202" w:rsidRDefault="00B63202">
            <w:pPr>
              <w:pStyle w:val="Normale1"/>
              <w:tabs>
                <w:tab w:val="left" w:pos="2460"/>
              </w:tabs>
              <w:spacing w:after="120"/>
              <w:jc w:val="both"/>
            </w:pPr>
            <w:r>
              <w:rPr>
                <w:sz w:val="24"/>
                <w:szCs w:val="24"/>
              </w:rPr>
              <w:t xml:space="preserve">L’azienda si impegna a collaborare al progetto conferendo persone, competenze e attività, con particolare riferimento: a) alla identificazione dei fabbisogni professionali e formativi; b) alla co-progettazione e realizzazione di attività, anche in alternanza scuola-lavoro, volte a favorire l’acquisizione delle competenze richieste dalle imprese della filiera di riferimento. </w:t>
            </w:r>
          </w:p>
          <w:p w:rsidR="00B63202" w:rsidRDefault="00B63202">
            <w:pPr>
              <w:pStyle w:val="Normale1"/>
              <w:tabs>
                <w:tab w:val="left" w:pos="2460"/>
              </w:tabs>
              <w:spacing w:after="120"/>
              <w:jc w:val="both"/>
            </w:pPr>
            <w:r>
              <w:rPr>
                <w:sz w:val="24"/>
                <w:szCs w:val="24"/>
              </w:rPr>
              <w:t>Bema un'azienda che progetta e realizza soluzioni di automazione industriale e robotica. Essa ha sviluppato una radicata e documentata interazione con le scuole secondarie di secondo grado, con l’ITS, l’università e centri di ricerca e di trasferimento tecnologico.</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jc w:val="both"/>
            </w:pPr>
            <w:r>
              <w:rPr>
                <w:sz w:val="24"/>
                <w:szCs w:val="24"/>
              </w:rPr>
              <w:t>Umana Spa</w:t>
            </w:r>
          </w:p>
        </w:tc>
        <w:tc>
          <w:tcPr>
            <w:tcW w:w="3045" w:type="dxa"/>
            <w:shd w:val="clear" w:color="auto" w:fill="D7E3BC"/>
          </w:tcPr>
          <w:p w:rsidR="00B63202" w:rsidRDefault="00B63202">
            <w:pPr>
              <w:pStyle w:val="Normale1"/>
              <w:tabs>
                <w:tab w:val="left" w:pos="2460"/>
              </w:tabs>
              <w:spacing w:after="120"/>
              <w:jc w:val="both"/>
            </w:pPr>
            <w:r>
              <w:rPr>
                <w:sz w:val="24"/>
                <w:szCs w:val="24"/>
              </w:rPr>
              <w:t>Nuovo partner</w:t>
            </w:r>
          </w:p>
        </w:tc>
        <w:tc>
          <w:tcPr>
            <w:tcW w:w="7005" w:type="dxa"/>
            <w:shd w:val="clear" w:color="auto" w:fill="D7E3BC"/>
          </w:tcPr>
          <w:p w:rsidR="00B63202" w:rsidRDefault="00B63202">
            <w:pPr>
              <w:pStyle w:val="Normale1"/>
              <w:tabs>
                <w:tab w:val="left" w:pos="2460"/>
              </w:tabs>
              <w:spacing w:after="120"/>
              <w:jc w:val="both"/>
            </w:pPr>
            <w:r>
              <w:rPr>
                <w:sz w:val="24"/>
                <w:szCs w:val="24"/>
              </w:rPr>
              <w:t>L’azienda si impegna a collaborare al progetto conferendo persone, competenze e attività, con particolare riferimento all’orientamento al lavoro: a) fornendo ai giovani una panoramica reale sulle opportunità di lavoro che propone il loro territorio; b) offrendo ai giovani strumenti e conoscenze per muovere con successo i primi passi nel mondo del lavoro (individuazione canali di ricerca attiva del lavoro, corretta redazione del curriculum, simulazione colloquio di lavoro, ecc.).</w:t>
            </w:r>
          </w:p>
          <w:p w:rsidR="00B63202" w:rsidRDefault="00B63202">
            <w:pPr>
              <w:pStyle w:val="Normale1"/>
              <w:tabs>
                <w:tab w:val="left" w:pos="2460"/>
              </w:tabs>
              <w:spacing w:after="120"/>
              <w:jc w:val="both"/>
            </w:pPr>
            <w:r>
              <w:rPr>
                <w:sz w:val="24"/>
                <w:szCs w:val="24"/>
              </w:rPr>
              <w:t>Umana è una Agenzia per il Lavoro autorizzata dal Ministero del Lavoro (somministrazione di lavoro, intermediazione, ricerca e selezione del personale, supporto alla ricollocazione professionale e formazione). Umana è da 12 anni interlocutore riconosciuto a livello nazionale come soggetto attivo nella promozione del dialogo Scuola-Impresa.</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Unindustria Reggio Emilia</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Unindustria Reggio Emilia fa parte del Sistema associativo di Confindustria. Unindustria sostiene il progetto per la costituzione del laboratorio territoriale sia mediante il conferimento diretto di un finanziamento sia attraverso un’azione di sensibilizzazione delle imprese del territorio per ampliare il partenariato e favorire la realizzazione di tirocini formativi e di orientamento.</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CIS Scuola per la gestione d’impresa</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CIS Scuola per la gestione d’impresa contribuisce al progetto attraverso il conferimento di attività propedeutiche al collocamento al lavoro e alla riqualificazione dei giovani, tra cui interventi di orientamento e formazione per la ricerca attiva del lavoro e la promozione di tirocini.</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Università di Modena e Reggio Emilia</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Prende parte al progetto mediante il conferimento di competenze da parte di docenti, ricercatori e laureandi del dipartimento di scienze e metodi dell’ingegneria.</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Fondazione ITS Maker</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Prende parte al progetto mediante il conferimento di competenze da attività e competenze</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CCIAA di Reggio Emilia</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La Camera di Commercio di Reggio Emilia sostiene il progetto per la costituzione del laboratorio territoriale mediante il conferimento di attività e competenze relative all’analisi dei fabbisogni formativi.</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Comune di Reggio Emilia</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Mette a disposizione, per almeno 10 anni, dei locali idonei ad ospitare il laboratorio.</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Provincia di Reggio Emilia</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Si impegna a mettere a disposizione attività e competenze nell’ambito della propria attività di programmazione dell’offerta formativa e di orientamento.</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pPr>
            <w:r>
              <w:rPr>
                <w:sz w:val="24"/>
                <w:szCs w:val="24"/>
              </w:rPr>
              <w:t>Fondazione Pietro Manodori</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La Fondazione sostiene il progetto mediante il conferimento diretto di un finanziamento.</w:t>
            </w:r>
          </w:p>
        </w:tc>
      </w:tr>
      <w:tr w:rsidR="00B63202" w:rsidTr="00267467">
        <w:trPr>
          <w:jc w:val="center"/>
        </w:trPr>
        <w:tc>
          <w:tcPr>
            <w:tcW w:w="2660" w:type="dxa"/>
            <w:vMerge/>
            <w:shd w:val="clear" w:color="auto" w:fill="D7E3BC"/>
          </w:tcPr>
          <w:p w:rsidR="00B63202" w:rsidRDefault="00B63202">
            <w:pPr>
              <w:pStyle w:val="Normale1"/>
              <w:tabs>
                <w:tab w:val="left" w:pos="7230"/>
              </w:tabs>
              <w:spacing w:after="120"/>
              <w:jc w:val="both"/>
            </w:pPr>
          </w:p>
        </w:tc>
        <w:tc>
          <w:tcPr>
            <w:tcW w:w="2284" w:type="dxa"/>
            <w:shd w:val="clear" w:color="auto" w:fill="D7E3BC"/>
          </w:tcPr>
          <w:p w:rsidR="00B63202" w:rsidRDefault="00B63202">
            <w:pPr>
              <w:pStyle w:val="Normale1"/>
              <w:tabs>
                <w:tab w:val="left" w:pos="2460"/>
              </w:tabs>
              <w:spacing w:after="120"/>
              <w:jc w:val="both"/>
            </w:pPr>
            <w:r>
              <w:rPr>
                <w:sz w:val="24"/>
                <w:szCs w:val="24"/>
              </w:rPr>
              <w:t>Fondazione REI</w:t>
            </w:r>
          </w:p>
        </w:tc>
        <w:tc>
          <w:tcPr>
            <w:tcW w:w="3045" w:type="dxa"/>
            <w:shd w:val="clear" w:color="auto" w:fill="D7E3BC"/>
          </w:tcPr>
          <w:p w:rsidR="00B63202" w:rsidRDefault="00B63202">
            <w:pPr>
              <w:pStyle w:val="Normale1"/>
              <w:tabs>
                <w:tab w:val="left" w:pos="2460"/>
              </w:tabs>
              <w:spacing w:after="120"/>
            </w:pPr>
            <w:r>
              <w:rPr>
                <w:sz w:val="24"/>
                <w:szCs w:val="24"/>
              </w:rPr>
              <w:t>Già presente nella precedente fase</w:t>
            </w:r>
          </w:p>
        </w:tc>
        <w:tc>
          <w:tcPr>
            <w:tcW w:w="7005" w:type="dxa"/>
            <w:shd w:val="clear" w:color="auto" w:fill="D7E3BC"/>
          </w:tcPr>
          <w:p w:rsidR="00B63202" w:rsidRDefault="00B63202">
            <w:pPr>
              <w:pStyle w:val="Normale1"/>
              <w:tabs>
                <w:tab w:val="left" w:pos="2460"/>
              </w:tabs>
              <w:spacing w:after="120"/>
              <w:jc w:val="both"/>
            </w:pPr>
            <w:r>
              <w:rPr>
                <w:sz w:val="24"/>
                <w:szCs w:val="24"/>
              </w:rPr>
              <w:t>Fondazione REI collabora al progetto mediante il conferimento di attività e competenze in ambito di progettazione e costruttivismo digitale, design e alle metodologie inerenti il mondo dei makers e della stampa additiva.</w:t>
            </w:r>
          </w:p>
        </w:tc>
      </w:tr>
    </w:tbl>
    <w:p w:rsidR="00267467" w:rsidRDefault="00267467">
      <w:pPr>
        <w:pStyle w:val="Normale1"/>
        <w:tabs>
          <w:tab w:val="left" w:pos="7230"/>
        </w:tabs>
        <w:spacing w:after="120"/>
        <w:jc w:val="both"/>
      </w:pPr>
    </w:p>
    <w:p w:rsidR="00267467" w:rsidRDefault="00267467">
      <w:r>
        <w:br w:type="page"/>
      </w:r>
    </w:p>
    <w:tbl>
      <w:tblPr>
        <w:tblStyle w:val="a3"/>
        <w:tblW w:w="14992" w:type="dxa"/>
        <w:jc w:val="center"/>
        <w:tblInd w:w="0" w:type="dxa"/>
        <w:tblBorders>
          <w:top w:val="single" w:sz="12" w:space="0" w:color="4F6228"/>
          <w:left w:val="single" w:sz="12" w:space="0" w:color="4F6228"/>
          <w:bottom w:val="single" w:sz="12" w:space="0" w:color="4F6228"/>
          <w:right w:val="single" w:sz="12" w:space="0" w:color="4F6228"/>
          <w:insideH w:val="single" w:sz="12" w:space="0" w:color="4F6228"/>
          <w:insideV w:val="single" w:sz="12" w:space="0" w:color="4F6228"/>
        </w:tblBorders>
        <w:tblLayout w:type="fixed"/>
        <w:tblLook w:val="0400"/>
      </w:tblPr>
      <w:tblGrid>
        <w:gridCol w:w="14992"/>
      </w:tblGrid>
      <w:tr w:rsidR="00CD43F0" w:rsidTr="00267467">
        <w:trPr>
          <w:jc w:val="center"/>
        </w:trPr>
        <w:tc>
          <w:tcPr>
            <w:tcW w:w="14992" w:type="dxa"/>
            <w:shd w:val="clear" w:color="auto" w:fill="D7E3BC"/>
          </w:tcPr>
          <w:p w:rsidR="00CD43F0" w:rsidRDefault="00BB40D7">
            <w:pPr>
              <w:pStyle w:val="Normale1"/>
              <w:tabs>
                <w:tab w:val="left" w:pos="7230"/>
              </w:tabs>
              <w:spacing w:after="120"/>
              <w:jc w:val="center"/>
            </w:pPr>
            <w:r>
              <w:rPr>
                <w:b/>
                <w:color w:val="4F6228"/>
                <w:sz w:val="24"/>
                <w:szCs w:val="24"/>
                <w:u w:val="single"/>
              </w:rPr>
              <w:lastRenderedPageBreak/>
              <w:t xml:space="preserve">Qualità del progetto (articolo 4, comma 2, lett. </w:t>
            </w:r>
            <w:r>
              <w:rPr>
                <w:b/>
                <w:i/>
                <w:color w:val="4F6228"/>
                <w:sz w:val="24"/>
                <w:szCs w:val="24"/>
                <w:u w:val="single"/>
              </w:rPr>
              <w:t>b),</w:t>
            </w:r>
            <w:r>
              <w:rPr>
                <w:b/>
                <w:color w:val="4F6228"/>
                <w:sz w:val="24"/>
                <w:szCs w:val="24"/>
                <w:u w:val="single"/>
              </w:rPr>
              <w:t xml:space="preserve"> max 20 punti)</w:t>
            </w:r>
          </w:p>
          <w:p w:rsidR="00CD43F0" w:rsidRDefault="00CD43F0">
            <w:pPr>
              <w:pStyle w:val="Normale1"/>
              <w:tabs>
                <w:tab w:val="left" w:pos="7230"/>
              </w:tabs>
              <w:spacing w:after="120"/>
              <w:jc w:val="center"/>
            </w:pPr>
          </w:p>
          <w:tbl>
            <w:tblPr>
              <w:tblStyle w:val="a2"/>
              <w:tblW w:w="14596" w:type="dxa"/>
              <w:tblInd w:w="0" w:type="dxa"/>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ayout w:type="fixed"/>
              <w:tblLook w:val="0400"/>
            </w:tblPr>
            <w:tblGrid>
              <w:gridCol w:w="3256"/>
              <w:gridCol w:w="11340"/>
            </w:tblGrid>
            <w:tr w:rsidR="00CD43F0">
              <w:tc>
                <w:tcPr>
                  <w:tcW w:w="3256" w:type="dxa"/>
                </w:tcPr>
                <w:p w:rsidR="00CD43F0" w:rsidRDefault="00BB40D7">
                  <w:pPr>
                    <w:pStyle w:val="Normale1"/>
                    <w:tabs>
                      <w:tab w:val="left" w:pos="7230"/>
                    </w:tabs>
                    <w:spacing w:after="120"/>
                    <w:jc w:val="both"/>
                  </w:pPr>
                  <w:r>
                    <w:rPr>
                      <w:b/>
                      <w:color w:val="4F6228"/>
                      <w:sz w:val="24"/>
                      <w:szCs w:val="24"/>
                    </w:rPr>
                    <w:t xml:space="preserve">Obiettivi perseguiti: </w:t>
                  </w:r>
                </w:p>
                <w:p w:rsidR="00CD43F0" w:rsidRDefault="00CD43F0">
                  <w:pPr>
                    <w:pStyle w:val="Normale1"/>
                    <w:tabs>
                      <w:tab w:val="left" w:pos="7230"/>
                    </w:tabs>
                    <w:spacing w:after="120"/>
                    <w:jc w:val="both"/>
                  </w:pPr>
                </w:p>
                <w:p w:rsidR="00CD43F0" w:rsidRDefault="00CD43F0">
                  <w:pPr>
                    <w:pStyle w:val="Normale1"/>
                    <w:tabs>
                      <w:tab w:val="left" w:pos="7230"/>
                    </w:tabs>
                    <w:spacing w:after="120"/>
                    <w:jc w:val="both"/>
                  </w:pPr>
                </w:p>
              </w:tc>
              <w:tc>
                <w:tcPr>
                  <w:tcW w:w="11340" w:type="dxa"/>
                </w:tcPr>
                <w:p w:rsidR="00CD43F0" w:rsidRDefault="00BB40D7">
                  <w:pPr>
                    <w:pStyle w:val="Normale1"/>
                    <w:tabs>
                      <w:tab w:val="left" w:pos="7230"/>
                    </w:tabs>
                    <w:spacing w:after="120"/>
                    <w:jc w:val="both"/>
                  </w:pPr>
                  <w:r>
                    <w:rPr>
                      <w:sz w:val="24"/>
                      <w:szCs w:val="24"/>
                    </w:rPr>
                    <w:t>L’approccio del sistema locale e delle imprese nei confronti del complesso processo evolutivo derivante dalla “quarta rivoluzione industriale” deve essere affrontato ponendo attenzione a due fattori di rilevanza strategica. Il primo fattore strategico è costituito dalle risorse umane intese come elemento insostituibile di accelerazione del cambiamento e di sviluppo dell’innovazione (obiettivi 1-3). Il secondo è costituito dalla necessità di favorire l’intreccio tra imprese, tecnologia e nuove professionalità con la costituzione di veri e propri ecosistemi di competenze (obiettivi 4-6). Occorre quindi favorire la creazione di un sistema forte di relazioni tra scuole, università, imprese ed enti di ricerca, capace di generare nuove conoscenze e nuove competenze e porre le basi di una crescita più elevata e sostenibile.</w:t>
                  </w:r>
                </w:p>
                <w:p w:rsidR="00CD43F0" w:rsidRDefault="00BB40D7">
                  <w:pPr>
                    <w:pStyle w:val="Normale1"/>
                    <w:tabs>
                      <w:tab w:val="left" w:pos="7230"/>
                    </w:tabs>
                    <w:spacing w:after="120"/>
                    <w:jc w:val="both"/>
                  </w:pPr>
                  <w:r>
                    <w:rPr>
                      <w:sz w:val="24"/>
                      <w:szCs w:val="24"/>
                    </w:rPr>
                    <w:t>A tal scopo si rende necessario:</w:t>
                  </w:r>
                </w:p>
                <w:p w:rsidR="00CD43F0" w:rsidRDefault="00BB40D7" w:rsidP="00B63202">
                  <w:pPr>
                    <w:pStyle w:val="Normale1"/>
                    <w:numPr>
                      <w:ilvl w:val="0"/>
                      <w:numId w:val="11"/>
                    </w:numPr>
                    <w:tabs>
                      <w:tab w:val="left" w:pos="7230"/>
                    </w:tabs>
                    <w:spacing w:after="120"/>
                  </w:pPr>
                  <w:r>
                    <w:rPr>
                      <w:b/>
                      <w:sz w:val="24"/>
                      <w:szCs w:val="24"/>
                    </w:rPr>
                    <w:t>Allineare le competenze del profilo in uscita degli alunni e il fabbisogno professionale del mondo del lavoro territoriale</w:t>
                  </w:r>
                </w:p>
                <w:p w:rsidR="00CD43F0" w:rsidRDefault="00BB40D7">
                  <w:pPr>
                    <w:pStyle w:val="Normale1"/>
                    <w:tabs>
                      <w:tab w:val="left" w:pos="7230"/>
                    </w:tabs>
                    <w:spacing w:after="120"/>
                    <w:jc w:val="both"/>
                  </w:pPr>
                  <w:r>
                    <w:rPr>
                      <w:sz w:val="24"/>
                      <w:szCs w:val="24"/>
                    </w:rPr>
                    <w:t xml:space="preserve">Diverse indagini (Confindustria, Unioncamere, Federmeccanica) sulle competenze necessarie per le attività produttive hanno rilevato un profondo skills gap che preoccupa fortemente le aziende ed è una delle principali cause di una quota consistente della disoccupazione giovanile (documento “Studio ergo lavoro” di McKinsey). Il progetto Lab 4.0 affronta efficacemente tale disallineamento esistente tra le esigenze del sistema produttivo e il profilo in uscita dal sistema dell’istruzione, integrando le competenze chiave (creatività, innovazione, imprenditorialità, competenze digitali) con una formazione vocazionale coerente con le specificità produttive del territorio. Oggi la transizione scuola-lavoro è ostacolata principalmente da vari fattori: scarsità di profili e professionalità in alcuni ambiti e settori, competenze non adeguate ai bisogni e alle necessità del sistema produttivo, l’inadeguatezza dei canali di supporto alla ricerca del lavoro e scarsa attitudine dei giovani alla autoimprenditorialità. È in queste direzioni che si intende indirizzare le attività del laboratorio. </w:t>
                  </w:r>
                </w:p>
                <w:p w:rsidR="00CD43F0" w:rsidRDefault="00BB40D7" w:rsidP="00B63202">
                  <w:pPr>
                    <w:pStyle w:val="Normale1"/>
                    <w:numPr>
                      <w:ilvl w:val="0"/>
                      <w:numId w:val="11"/>
                    </w:numPr>
                    <w:tabs>
                      <w:tab w:val="left" w:pos="7230"/>
                    </w:tabs>
                    <w:spacing w:after="120"/>
                    <w:jc w:val="both"/>
                  </w:pPr>
                  <w:r>
                    <w:rPr>
                      <w:b/>
                      <w:sz w:val="24"/>
                      <w:szCs w:val="24"/>
                    </w:rPr>
                    <w:t>Motivare e orientare i giovani e le giovani alla cultura tecnica</w:t>
                  </w:r>
                </w:p>
                <w:p w:rsidR="00CD43F0" w:rsidRDefault="00BB40D7">
                  <w:pPr>
                    <w:pStyle w:val="Normale1"/>
                    <w:tabs>
                      <w:tab w:val="left" w:pos="7230"/>
                    </w:tabs>
                    <w:spacing w:after="120"/>
                    <w:jc w:val="both"/>
                  </w:pPr>
                  <w:r>
                    <w:rPr>
                      <w:sz w:val="24"/>
                      <w:szCs w:val="24"/>
                    </w:rPr>
                    <w:t>I dati relativi alla scelta scolastica dei giovani del nostro territorio sottolineano una considerevole discrepanza tra la netta propensione verso alcuni indirizzi di studio, l’effettiva occupabilità dei profili in uscita rispetto al tessuto produttivo del territorio e la quantificazione delle esigenze professionali delle aziende, che cercano un numero di profili tecnici sensibilmente maggiore rispetto ai diplomati annui.</w:t>
                  </w:r>
                </w:p>
                <w:p w:rsidR="00CD43F0" w:rsidRDefault="00BB40D7">
                  <w:pPr>
                    <w:pStyle w:val="Normale1"/>
                    <w:tabs>
                      <w:tab w:val="left" w:pos="7230"/>
                    </w:tabs>
                    <w:spacing w:after="120"/>
                    <w:jc w:val="both"/>
                  </w:pPr>
                  <w:r>
                    <w:rPr>
                      <w:sz w:val="24"/>
                      <w:szCs w:val="24"/>
                    </w:rPr>
                    <w:t xml:space="preserve">Il laboratorio, con i propri spazi, le attrezzature e le attività svolte anche in modalità di </w:t>
                  </w:r>
                  <w:r>
                    <w:rPr>
                      <w:i/>
                      <w:sz w:val="24"/>
                      <w:szCs w:val="24"/>
                    </w:rPr>
                    <w:t>peer education</w:t>
                  </w:r>
                  <w:r>
                    <w:rPr>
                      <w:sz w:val="24"/>
                      <w:szCs w:val="24"/>
                    </w:rPr>
                    <w:t xml:space="preserve">, intende avvicinare, coinvolgere e appassionare alla cultura tecnica i giovani in procinto di scegliere la scuola superiore, </w:t>
                  </w:r>
                  <w:r>
                    <w:rPr>
                      <w:sz w:val="24"/>
                      <w:szCs w:val="24"/>
                    </w:rPr>
                    <w:lastRenderedPageBreak/>
                    <w:t>sottolineandone la modernità, la contiguità rispetto alle nuove tecnologie di cui sono spontanei consumatori e soprattutto la flessibile spendibilità nel mondo del lavoro o nel prosieguo degli studi.</w:t>
                  </w:r>
                </w:p>
                <w:p w:rsidR="00CD43F0" w:rsidRDefault="00BB40D7">
                  <w:pPr>
                    <w:pStyle w:val="Normale1"/>
                    <w:tabs>
                      <w:tab w:val="left" w:pos="7230"/>
                    </w:tabs>
                    <w:spacing w:after="120"/>
                    <w:jc w:val="both"/>
                  </w:pPr>
                  <w:r>
                    <w:rPr>
                      <w:sz w:val="24"/>
                      <w:szCs w:val="24"/>
                    </w:rPr>
                    <w:t>Le competenze acquisite informalmente dai giovani nella fascia di età tra gli 11 e i 13 anni costituiscono un prerequisito fondamentale e una leva eccezionalmente motivante rispetto a corsi di studi tecnici, che stanno rinnovando la propria didattica nel senso della laboratorialità.</w:t>
                  </w:r>
                </w:p>
                <w:p w:rsidR="00CD43F0" w:rsidRDefault="00BB40D7">
                  <w:pPr>
                    <w:pStyle w:val="Normale1"/>
                    <w:tabs>
                      <w:tab w:val="left" w:pos="7230"/>
                    </w:tabs>
                    <w:spacing w:after="120"/>
                    <w:jc w:val="both"/>
                  </w:pPr>
                  <w:r>
                    <w:rPr>
                      <w:sz w:val="24"/>
                      <w:szCs w:val="24"/>
                    </w:rPr>
                    <w:t>In particolare, visto il divario, anche numerico, nell’ambito della cultura digitale, il laboratorio si propone di avvicinare l’utenza femminile alla cultura tecnica, superando un latente stereotipo di genere e valorizzando l’apporto professionale e umano propri delle pari opportunità negli ambienti di lavoro.</w:t>
                  </w:r>
                </w:p>
                <w:p w:rsidR="00CD43F0" w:rsidRDefault="00BB40D7">
                  <w:pPr>
                    <w:pStyle w:val="Normale1"/>
                    <w:tabs>
                      <w:tab w:val="left" w:pos="7230"/>
                    </w:tabs>
                    <w:spacing w:after="120"/>
                    <w:jc w:val="both"/>
                  </w:pPr>
                  <w:r>
                    <w:rPr>
                      <w:sz w:val="24"/>
                      <w:szCs w:val="24"/>
                    </w:rPr>
                    <w:t>Il coinvolgimento di soggetti operanti nei servizi per l’impiego è funzionale a rendere visibili le opportunità di lavoro, migliorare la capacità dei giovani di sostenere efficacemente i colloqui di selezione, identificare gli sbocchi occupazionali più confacenti alle loro competenze e attitudini, con l’obiettivo di favorire la transizione scuola-lavoro. Tramite il rafforzamento del raccordo tra le scuole sistema e i partner privati, potranno essere sviluppate funzioni di placement.</w:t>
                  </w:r>
                </w:p>
                <w:p w:rsidR="00CD43F0" w:rsidRDefault="00BB40D7" w:rsidP="00B63202">
                  <w:pPr>
                    <w:pStyle w:val="Normale1"/>
                    <w:numPr>
                      <w:ilvl w:val="0"/>
                      <w:numId w:val="11"/>
                    </w:numPr>
                    <w:tabs>
                      <w:tab w:val="left" w:pos="7230"/>
                    </w:tabs>
                    <w:spacing w:after="120"/>
                    <w:jc w:val="both"/>
                  </w:pPr>
                  <w:r>
                    <w:rPr>
                      <w:b/>
                      <w:sz w:val="24"/>
                      <w:szCs w:val="24"/>
                    </w:rPr>
                    <w:t>Azione rivolte al contrasto della disoccupazione,  alla riqualificazione e alla ricollocazione</w:t>
                  </w:r>
                </w:p>
                <w:p w:rsidR="00CD43F0" w:rsidRDefault="00BB40D7">
                  <w:pPr>
                    <w:pStyle w:val="Normale1"/>
                    <w:tabs>
                      <w:tab w:val="left" w:pos="7230"/>
                    </w:tabs>
                    <w:spacing w:after="120"/>
                    <w:jc w:val="both"/>
                  </w:pPr>
                  <w:r>
                    <w:rPr>
                      <w:sz w:val="24"/>
                      <w:szCs w:val="24"/>
                    </w:rPr>
                    <w:t>Le attività realizzabili nel laboratorio territoriale intendono prevenire e contrastare l’abbandono scolastico precoce, con esperienze che sostengano la motivazione degli studenti e aiutino gli adolescenti ad applicarsi con impegno nell’ambito di un progetto di vita da costruire in modo consapevole. Il coinvolgimento di soggetti operanti nei servizi per l’impiego è funzionale a favorire l’incontro fra domanda ed offerta di lavoro, promuovere azioni di riqualificazione, sostenere la ricerca di impiego dei giovani inoccupati e a svillupare l’attitudine alla autoimprenditorialità.</w:t>
                  </w:r>
                </w:p>
                <w:p w:rsidR="00CD43F0" w:rsidRDefault="00BB40D7" w:rsidP="00B63202">
                  <w:pPr>
                    <w:pStyle w:val="Normale1"/>
                    <w:numPr>
                      <w:ilvl w:val="0"/>
                      <w:numId w:val="11"/>
                    </w:numPr>
                    <w:tabs>
                      <w:tab w:val="left" w:pos="7230"/>
                    </w:tabs>
                    <w:spacing w:after="120"/>
                    <w:jc w:val="both"/>
                  </w:pPr>
                  <w:r>
                    <w:rPr>
                      <w:b/>
                      <w:sz w:val="24"/>
                      <w:szCs w:val="24"/>
                    </w:rPr>
                    <w:t>Sviluppare competenze digitali per l’Industria 4.0</w:t>
                  </w:r>
                </w:p>
                <w:p w:rsidR="00CD43F0" w:rsidRDefault="00BB40D7">
                  <w:pPr>
                    <w:pStyle w:val="Normale1"/>
                    <w:tabs>
                      <w:tab w:val="left" w:pos="7230"/>
                    </w:tabs>
                    <w:spacing w:after="120"/>
                    <w:jc w:val="both"/>
                  </w:pPr>
                  <w:r>
                    <w:rPr>
                      <w:sz w:val="24"/>
                      <w:szCs w:val="24"/>
                    </w:rPr>
                    <w:t>La velocità, la pervasività e la trasversalità con cui le tecnologie digitali stanno penetrando la realtà operativa di cittadini, imprese e amministrazioni pubbliche ne fanno uno straordinario volano di crescita e competitività per l’intero sistema produttivo, con particolare riferimento alla digitalizzazione delle filiere industriali locali.</w:t>
                  </w:r>
                </w:p>
                <w:p w:rsidR="00CD43F0" w:rsidRDefault="00BB40D7">
                  <w:pPr>
                    <w:pStyle w:val="Normale1"/>
                    <w:tabs>
                      <w:tab w:val="left" w:pos="7230"/>
                    </w:tabs>
                    <w:spacing w:after="120"/>
                    <w:jc w:val="both"/>
                  </w:pPr>
                  <w:r>
                    <w:rPr>
                      <w:sz w:val="24"/>
                      <w:szCs w:val="24"/>
                    </w:rPr>
                    <w:t>La disponibilità di capitale umano, qualificato in tal senso grazie alle attività del Laboratorio territoriale, è una leva fondamentale per lo sviluppo, l’innovazione e la diffusione delle tecnologie digitali alla base di Industria 4.0., soprattutto per le aziende di dimensioni più contenute, generalmente prive di un settore interno di ricerca.</w:t>
                  </w:r>
                </w:p>
                <w:p w:rsidR="00CD43F0" w:rsidRDefault="00BB40D7">
                  <w:pPr>
                    <w:pStyle w:val="Normale1"/>
                    <w:tabs>
                      <w:tab w:val="left" w:pos="7230"/>
                    </w:tabs>
                    <w:spacing w:after="120"/>
                    <w:jc w:val="both"/>
                  </w:pPr>
                  <w:r>
                    <w:rPr>
                      <w:sz w:val="24"/>
                      <w:szCs w:val="24"/>
                    </w:rPr>
                    <w:t xml:space="preserve">Questo processo, associato alla nuova modalità produttiva non più di massa e basata su grossi impianti industriali ma sempre più flessibile e </w:t>
                  </w:r>
                  <w:r>
                    <w:rPr>
                      <w:i/>
                      <w:sz w:val="24"/>
                      <w:szCs w:val="24"/>
                    </w:rPr>
                    <w:t>customer oriented</w:t>
                  </w:r>
                  <w:r>
                    <w:rPr>
                      <w:sz w:val="24"/>
                      <w:szCs w:val="24"/>
                    </w:rPr>
                    <w:t xml:space="preserve">, porterà ampi benefici all’utenza in uscita delle scuole, in termini di </w:t>
                  </w:r>
                  <w:r>
                    <w:rPr>
                      <w:sz w:val="24"/>
                      <w:szCs w:val="24"/>
                    </w:rPr>
                    <w:lastRenderedPageBreak/>
                    <w:t>occupabilità, e al tessuto industriale locale, le cui peculiarità in tema di design, creatività e affidabilità potranno tornare ad essere valorizzate nel mondo.</w:t>
                  </w:r>
                </w:p>
                <w:p w:rsidR="00CD43F0" w:rsidRDefault="00BB40D7" w:rsidP="00B63202">
                  <w:pPr>
                    <w:pStyle w:val="Normale1"/>
                    <w:numPr>
                      <w:ilvl w:val="0"/>
                      <w:numId w:val="11"/>
                    </w:numPr>
                    <w:tabs>
                      <w:tab w:val="left" w:pos="7230"/>
                    </w:tabs>
                    <w:spacing w:after="120"/>
                    <w:jc w:val="both"/>
                  </w:pPr>
                  <w:r>
                    <w:rPr>
                      <w:b/>
                      <w:sz w:val="24"/>
                      <w:szCs w:val="24"/>
                    </w:rPr>
                    <w:t>Supportare l’innovazione continua delle attività produttive con la formazione di nuove figure professionali specifiche e flessibili</w:t>
                  </w:r>
                </w:p>
                <w:p w:rsidR="00CD43F0" w:rsidRDefault="00BB40D7">
                  <w:pPr>
                    <w:pStyle w:val="Normale1"/>
                    <w:tabs>
                      <w:tab w:val="left" w:pos="7230"/>
                    </w:tabs>
                    <w:spacing w:after="120"/>
                    <w:jc w:val="both"/>
                  </w:pPr>
                  <w:r>
                    <w:rPr>
                      <w:sz w:val="24"/>
                      <w:szCs w:val="24"/>
                    </w:rPr>
                    <w:t>Fenomeni come l’</w:t>
                  </w:r>
                  <w:r>
                    <w:rPr>
                      <w:i/>
                      <w:sz w:val="24"/>
                      <w:szCs w:val="24"/>
                    </w:rPr>
                    <w:t xml:space="preserve">open innovation </w:t>
                  </w:r>
                  <w:r>
                    <w:rPr>
                      <w:sz w:val="24"/>
                      <w:szCs w:val="24"/>
                    </w:rPr>
                    <w:t xml:space="preserve">e tecnologie quali la </w:t>
                  </w:r>
                  <w:r>
                    <w:rPr>
                      <w:i/>
                      <w:sz w:val="24"/>
                      <w:szCs w:val="24"/>
                    </w:rPr>
                    <w:t>manifattura digitale</w:t>
                  </w:r>
                  <w:r>
                    <w:rPr>
                      <w:sz w:val="24"/>
                      <w:szCs w:val="24"/>
                    </w:rPr>
                    <w:t>, l’</w:t>
                  </w:r>
                  <w:r>
                    <w:rPr>
                      <w:i/>
                      <w:sz w:val="24"/>
                      <w:szCs w:val="24"/>
                    </w:rPr>
                    <w:t>Internet delle cose</w:t>
                  </w:r>
                  <w:r>
                    <w:rPr>
                      <w:sz w:val="24"/>
                      <w:szCs w:val="24"/>
                    </w:rPr>
                    <w:t xml:space="preserve">, i </w:t>
                  </w:r>
                  <w:r>
                    <w:rPr>
                      <w:i/>
                      <w:sz w:val="24"/>
                      <w:szCs w:val="24"/>
                    </w:rPr>
                    <w:t xml:space="preserve">big data </w:t>
                  </w:r>
                  <w:r>
                    <w:rPr>
                      <w:sz w:val="24"/>
                      <w:szCs w:val="24"/>
                    </w:rPr>
                    <w:t xml:space="preserve">e il </w:t>
                  </w:r>
                  <w:r>
                    <w:rPr>
                      <w:i/>
                      <w:sz w:val="24"/>
                      <w:szCs w:val="24"/>
                    </w:rPr>
                    <w:t>cloud</w:t>
                  </w:r>
                  <w:r>
                    <w:rPr>
                      <w:sz w:val="24"/>
                      <w:szCs w:val="24"/>
                    </w:rPr>
                    <w:t xml:space="preserve"> hanno un impatto epocale sulla manifattura e sui servizi ad essa collegati, rivoluzionando gli elementi di competitività dell’industria. Tale innovazione esige una capillare azione di aggiornamento della manifattura e di supporto alle imprese - soprattutto piccole e medie - nella comprensione delle dinamiche e delle nuove strategie di crescita e sviluppo: per la competitività del nostro tessuto produttivo occorre che le aziende investano nella “fabbrica digitale”, soprattutto in termini di nuove competenze da inserire negli organigrammi (mix di conoscenze informatiche, di progettazione, di </w:t>
                  </w:r>
                  <w:r>
                    <w:rPr>
                      <w:i/>
                      <w:sz w:val="24"/>
                      <w:szCs w:val="24"/>
                    </w:rPr>
                    <w:t>manufacturing</w:t>
                  </w:r>
                  <w:r>
                    <w:rPr>
                      <w:sz w:val="24"/>
                      <w:szCs w:val="24"/>
                    </w:rPr>
                    <w:t xml:space="preserve"> e di </w:t>
                  </w:r>
                  <w:r>
                    <w:rPr>
                      <w:i/>
                      <w:sz w:val="24"/>
                      <w:szCs w:val="24"/>
                    </w:rPr>
                    <w:t>marketing</w:t>
                  </w:r>
                  <w:r>
                    <w:rPr>
                      <w:sz w:val="24"/>
                      <w:szCs w:val="24"/>
                    </w:rPr>
                    <w:t>).</w:t>
                  </w:r>
                </w:p>
                <w:p w:rsidR="00CD43F0" w:rsidRDefault="00BB40D7">
                  <w:pPr>
                    <w:pStyle w:val="Normale1"/>
                    <w:tabs>
                      <w:tab w:val="left" w:pos="7230"/>
                    </w:tabs>
                    <w:spacing w:after="120"/>
                    <w:jc w:val="both"/>
                  </w:pPr>
                  <w:r>
                    <w:rPr>
                      <w:sz w:val="24"/>
                      <w:szCs w:val="24"/>
                    </w:rPr>
                    <w:t>Contemporaneamente le istituzioni scolastiche stanno elaborando i percorsi formativi per la realizzazione di una efficace alternanza scuola-lavoro.</w:t>
                  </w:r>
                </w:p>
                <w:p w:rsidR="00CD43F0" w:rsidRDefault="00BB40D7">
                  <w:pPr>
                    <w:pStyle w:val="Normale1"/>
                    <w:tabs>
                      <w:tab w:val="left" w:pos="7230"/>
                    </w:tabs>
                    <w:spacing w:after="120"/>
                    <w:jc w:val="both"/>
                  </w:pPr>
                  <w:r>
                    <w:rPr>
                      <w:sz w:val="24"/>
                      <w:szCs w:val="24"/>
                    </w:rPr>
                    <w:t xml:space="preserve">Il laboratorio territoriale, grazie agli spazi, alle attività di progetto e all’organizzazione tecnico-scientifica, intende orientare questa congiuntura di esigenze professionali e pianificazione didattico-formativa alla creazione di nuove figure specializzate nel </w:t>
                  </w:r>
                  <w:r>
                    <w:rPr>
                      <w:i/>
                      <w:sz w:val="24"/>
                      <w:szCs w:val="24"/>
                    </w:rPr>
                    <w:t>manufacturing</w:t>
                  </w:r>
                  <w:r>
                    <w:rPr>
                      <w:sz w:val="24"/>
                      <w:szCs w:val="24"/>
                    </w:rPr>
                    <w:t xml:space="preserve"> di qualità, avviando un processo virtuoso di progettazione/ridefinizione continua della formazione e del </w:t>
                  </w:r>
                  <w:r>
                    <w:rPr>
                      <w:i/>
                      <w:sz w:val="24"/>
                      <w:szCs w:val="24"/>
                    </w:rPr>
                    <w:t>training</w:t>
                  </w:r>
                  <w:r>
                    <w:rPr>
                      <w:sz w:val="24"/>
                      <w:szCs w:val="24"/>
                    </w:rPr>
                    <w:t xml:space="preserve"> permanente e attraendo i giovani verso le attività del </w:t>
                  </w:r>
                  <w:r>
                    <w:rPr>
                      <w:i/>
                      <w:sz w:val="24"/>
                      <w:szCs w:val="24"/>
                    </w:rPr>
                    <w:t>manufacturing</w:t>
                  </w:r>
                  <w:r>
                    <w:rPr>
                      <w:sz w:val="24"/>
                      <w:szCs w:val="24"/>
                    </w:rPr>
                    <w:t>.</w:t>
                  </w:r>
                </w:p>
                <w:p w:rsidR="00CD43F0" w:rsidRDefault="00BB40D7" w:rsidP="00B63202">
                  <w:pPr>
                    <w:pStyle w:val="Normale1"/>
                    <w:numPr>
                      <w:ilvl w:val="0"/>
                      <w:numId w:val="11"/>
                    </w:numPr>
                    <w:tabs>
                      <w:tab w:val="left" w:pos="7230"/>
                    </w:tabs>
                    <w:spacing w:after="120"/>
                    <w:jc w:val="both"/>
                  </w:pPr>
                  <w:r>
                    <w:rPr>
                      <w:b/>
                      <w:sz w:val="24"/>
                      <w:szCs w:val="24"/>
                    </w:rPr>
                    <w:t>Sviluppo del pensiero computazionale (</w:t>
                  </w:r>
                  <w:r>
                    <w:rPr>
                      <w:b/>
                      <w:i/>
                      <w:sz w:val="24"/>
                      <w:szCs w:val="24"/>
                    </w:rPr>
                    <w:t>coding</w:t>
                  </w:r>
                  <w:r>
                    <w:rPr>
                      <w:b/>
                      <w:sz w:val="24"/>
                      <w:szCs w:val="24"/>
                    </w:rPr>
                    <w:t>)</w:t>
                  </w:r>
                </w:p>
                <w:p w:rsidR="00CD43F0" w:rsidRDefault="00BB40D7">
                  <w:pPr>
                    <w:pStyle w:val="Normale1"/>
                    <w:tabs>
                      <w:tab w:val="left" w:pos="7230"/>
                    </w:tabs>
                    <w:spacing w:after="120"/>
                    <w:jc w:val="both"/>
                    <w:rPr>
                      <w:sz w:val="24"/>
                      <w:szCs w:val="24"/>
                    </w:rPr>
                  </w:pPr>
                  <w:r>
                    <w:rPr>
                      <w:sz w:val="24"/>
                      <w:szCs w:val="24"/>
                    </w:rPr>
                    <w:t>Le sfide attuali richiedono l'utilizzo di strumenti estremamente sofisticati in grado di assolvere a compiti sempre più complessi ma quello che le macchine non possono fare è sostituirsi al pensiero e alla creatività degli esseri umani. Il coding entra in questa visione come strumento di dialogo e di modellazione attraverso il quale è possibile trovare nuove soluzioni e trasporre le idee in istruzioni.</w:t>
                  </w:r>
                </w:p>
                <w:p w:rsidR="00B63202" w:rsidRPr="00B63202" w:rsidRDefault="00B63202">
                  <w:pPr>
                    <w:pStyle w:val="Normale1"/>
                    <w:tabs>
                      <w:tab w:val="left" w:pos="7230"/>
                    </w:tabs>
                    <w:spacing w:after="120"/>
                    <w:jc w:val="both"/>
                    <w:rPr>
                      <w:sz w:val="24"/>
                      <w:szCs w:val="24"/>
                    </w:rPr>
                  </w:pPr>
                  <w:bookmarkStart w:id="0" w:name="_GoBack"/>
                  <w:bookmarkEnd w:id="0"/>
                </w:p>
              </w:tc>
            </w:tr>
            <w:tr w:rsidR="00CD43F0">
              <w:tc>
                <w:tcPr>
                  <w:tcW w:w="3256" w:type="dxa"/>
                </w:tcPr>
                <w:p w:rsidR="00CD43F0" w:rsidRDefault="00BB40D7">
                  <w:pPr>
                    <w:pStyle w:val="Normale1"/>
                    <w:tabs>
                      <w:tab w:val="left" w:pos="7230"/>
                    </w:tabs>
                    <w:spacing w:after="120"/>
                    <w:jc w:val="both"/>
                  </w:pPr>
                  <w:r>
                    <w:rPr>
                      <w:b/>
                      <w:color w:val="4F6228"/>
                      <w:sz w:val="24"/>
                      <w:szCs w:val="24"/>
                    </w:rPr>
                    <w:lastRenderedPageBreak/>
                    <w:t xml:space="preserve">Competenze da sviluppare: </w:t>
                  </w:r>
                </w:p>
                <w:p w:rsidR="00CD43F0" w:rsidRDefault="00CD43F0">
                  <w:pPr>
                    <w:pStyle w:val="Normale1"/>
                    <w:tabs>
                      <w:tab w:val="left" w:pos="7230"/>
                    </w:tabs>
                    <w:spacing w:after="120"/>
                    <w:jc w:val="both"/>
                  </w:pPr>
                </w:p>
                <w:p w:rsidR="00CD43F0" w:rsidRDefault="00CD43F0">
                  <w:pPr>
                    <w:pStyle w:val="Normale1"/>
                    <w:tabs>
                      <w:tab w:val="left" w:pos="7230"/>
                    </w:tabs>
                    <w:spacing w:after="120"/>
                    <w:jc w:val="both"/>
                  </w:pPr>
                </w:p>
              </w:tc>
              <w:tc>
                <w:tcPr>
                  <w:tcW w:w="11340" w:type="dxa"/>
                </w:tcPr>
                <w:p w:rsidR="00CD43F0" w:rsidRDefault="00BB40D7">
                  <w:pPr>
                    <w:pStyle w:val="Normale1"/>
                    <w:tabs>
                      <w:tab w:val="left" w:pos="7230"/>
                    </w:tabs>
                    <w:spacing w:after="120"/>
                    <w:jc w:val="both"/>
                  </w:pPr>
                  <w:r>
                    <w:rPr>
                      <w:sz w:val="24"/>
                      <w:szCs w:val="24"/>
                    </w:rPr>
                    <w:t xml:space="preserve">Nei prossimi anni il nostro sistema manifatturiero dovrà affrontare la sfida della quarta rivoluzione industriale, la cosiddetta “Industry 4.0”, ovvero la totale automazione ed interconnessione delle produzioni. </w:t>
                  </w:r>
                </w:p>
                <w:p w:rsidR="00CD43F0" w:rsidRDefault="00BB40D7">
                  <w:pPr>
                    <w:pStyle w:val="Normale1"/>
                    <w:tabs>
                      <w:tab w:val="left" w:pos="7230"/>
                    </w:tabs>
                    <w:spacing w:after="120"/>
                    <w:jc w:val="both"/>
                  </w:pPr>
                  <w:r>
                    <w:rPr>
                      <w:sz w:val="24"/>
                      <w:szCs w:val="24"/>
                    </w:rPr>
                    <w:t>Gli effetti e le implicazioni di questo processo sono così profondi che impongono lo sviluppo di competenze innovative, generate da un mix di conoscenze informatiche, di progettazione, di manufacturing e di marketing che ad oggi le istituzioni formative faticano a trasmettere</w:t>
                  </w:r>
                </w:p>
                <w:p w:rsidR="00CD43F0" w:rsidRDefault="00BB40D7">
                  <w:pPr>
                    <w:pStyle w:val="Normale1"/>
                    <w:tabs>
                      <w:tab w:val="left" w:pos="7230"/>
                    </w:tabs>
                    <w:spacing w:after="200"/>
                    <w:jc w:val="both"/>
                  </w:pPr>
                  <w:r>
                    <w:rPr>
                      <w:sz w:val="24"/>
                      <w:szCs w:val="24"/>
                    </w:rPr>
                    <w:t xml:space="preserve">Il dialogo e gli scambi con le imprese partner hanno consentito di definire in prospettiva il fabbisogno delle </w:t>
                  </w:r>
                  <w:r>
                    <w:rPr>
                      <w:sz w:val="24"/>
                      <w:szCs w:val="24"/>
                    </w:rPr>
                    <w:lastRenderedPageBreak/>
                    <w:t>competenze necessarie sul territorio per gestire i processi legati alla rivoluzione digitale: l’evoluzione verso questo nuovo paradigma comporta una forte discontinuità e sta generando profondi cambiamenti nella progettazione, nella produzione, nell’uso e nella manutenzione dei manufatti che caratterizzano l’industria locale e che richiede lo sviluppo delle seguenti</w:t>
                  </w:r>
                  <w:r>
                    <w:rPr>
                      <w:b/>
                      <w:sz w:val="24"/>
                      <w:szCs w:val="24"/>
                    </w:rPr>
                    <w:t xml:space="preserve"> competenze</w:t>
                  </w:r>
                  <w:r>
                    <w:rPr>
                      <w:sz w:val="24"/>
                      <w:szCs w:val="24"/>
                    </w:rPr>
                    <w:t>:</w:t>
                  </w:r>
                </w:p>
                <w:p w:rsidR="00CD43F0" w:rsidRDefault="00BB40D7">
                  <w:pPr>
                    <w:pStyle w:val="Normale1"/>
                    <w:numPr>
                      <w:ilvl w:val="0"/>
                      <w:numId w:val="8"/>
                    </w:numPr>
                    <w:tabs>
                      <w:tab w:val="left" w:pos="7230"/>
                    </w:tabs>
                    <w:ind w:hanging="360"/>
                    <w:contextualSpacing/>
                    <w:jc w:val="both"/>
                    <w:rPr>
                      <w:sz w:val="24"/>
                      <w:szCs w:val="24"/>
                    </w:rPr>
                  </w:pPr>
                  <w:r>
                    <w:rPr>
                      <w:sz w:val="24"/>
                      <w:szCs w:val="24"/>
                    </w:rPr>
                    <w:t>Ideare, progettare e realizzare HMI (interfacce uomo macchina).</w:t>
                  </w:r>
                </w:p>
                <w:p w:rsidR="00CD43F0" w:rsidRDefault="00BB40D7">
                  <w:pPr>
                    <w:pStyle w:val="Normale1"/>
                    <w:numPr>
                      <w:ilvl w:val="0"/>
                      <w:numId w:val="8"/>
                    </w:numPr>
                    <w:tabs>
                      <w:tab w:val="left" w:pos="7230"/>
                    </w:tabs>
                    <w:ind w:hanging="360"/>
                    <w:contextualSpacing/>
                    <w:jc w:val="both"/>
                    <w:rPr>
                      <w:sz w:val="24"/>
                      <w:szCs w:val="24"/>
                    </w:rPr>
                  </w:pPr>
                  <w:r>
                    <w:rPr>
                      <w:sz w:val="24"/>
                      <w:szCs w:val="24"/>
                    </w:rPr>
                    <w:t>Saper prototipare in modo rapido hardware e software.</w:t>
                  </w:r>
                </w:p>
                <w:p w:rsidR="00CD43F0" w:rsidRDefault="00BB40D7">
                  <w:pPr>
                    <w:pStyle w:val="Normale1"/>
                    <w:numPr>
                      <w:ilvl w:val="0"/>
                      <w:numId w:val="8"/>
                    </w:numPr>
                    <w:tabs>
                      <w:tab w:val="left" w:pos="7230"/>
                    </w:tabs>
                    <w:ind w:hanging="360"/>
                    <w:contextualSpacing/>
                    <w:jc w:val="both"/>
                    <w:rPr>
                      <w:sz w:val="24"/>
                      <w:szCs w:val="24"/>
                    </w:rPr>
                  </w:pPr>
                  <w:r>
                    <w:rPr>
                      <w:sz w:val="24"/>
                      <w:szCs w:val="24"/>
                    </w:rPr>
                    <w:t>Ideare, progettare e realizzare modelli.</w:t>
                  </w:r>
                </w:p>
                <w:p w:rsidR="00CD43F0" w:rsidRDefault="00BB40D7">
                  <w:pPr>
                    <w:pStyle w:val="Normale1"/>
                    <w:numPr>
                      <w:ilvl w:val="0"/>
                      <w:numId w:val="8"/>
                    </w:numPr>
                    <w:tabs>
                      <w:tab w:val="left" w:pos="7230"/>
                    </w:tabs>
                    <w:ind w:hanging="360"/>
                    <w:contextualSpacing/>
                    <w:jc w:val="both"/>
                    <w:rPr>
                      <w:sz w:val="24"/>
                      <w:szCs w:val="24"/>
                    </w:rPr>
                  </w:pPr>
                  <w:r>
                    <w:rPr>
                      <w:sz w:val="24"/>
                      <w:szCs w:val="24"/>
                    </w:rPr>
                    <w:t>Sapere lavorare in gruppo ed in autonomia.</w:t>
                  </w:r>
                </w:p>
                <w:p w:rsidR="00CD43F0" w:rsidRDefault="00BB40D7">
                  <w:pPr>
                    <w:pStyle w:val="Normale1"/>
                    <w:numPr>
                      <w:ilvl w:val="0"/>
                      <w:numId w:val="8"/>
                    </w:numPr>
                    <w:tabs>
                      <w:tab w:val="left" w:pos="7230"/>
                    </w:tabs>
                    <w:ind w:hanging="360"/>
                    <w:contextualSpacing/>
                    <w:jc w:val="both"/>
                    <w:rPr>
                      <w:sz w:val="24"/>
                      <w:szCs w:val="24"/>
                    </w:rPr>
                  </w:pPr>
                  <w:r>
                    <w:rPr>
                      <w:sz w:val="24"/>
                      <w:szCs w:val="24"/>
                    </w:rPr>
                    <w:t>Sapere produrre documentazione tecnica interattiva.</w:t>
                  </w:r>
                </w:p>
                <w:p w:rsidR="00CD43F0" w:rsidRDefault="00BB40D7">
                  <w:pPr>
                    <w:pStyle w:val="Normale1"/>
                    <w:numPr>
                      <w:ilvl w:val="0"/>
                      <w:numId w:val="8"/>
                    </w:numPr>
                    <w:tabs>
                      <w:tab w:val="left" w:pos="7230"/>
                    </w:tabs>
                    <w:ind w:hanging="360"/>
                    <w:contextualSpacing/>
                    <w:jc w:val="both"/>
                    <w:rPr>
                      <w:sz w:val="24"/>
                      <w:szCs w:val="24"/>
                    </w:rPr>
                  </w:pPr>
                  <w:r>
                    <w:rPr>
                      <w:sz w:val="24"/>
                      <w:szCs w:val="24"/>
                    </w:rPr>
                    <w:t>Ideare, progettare e realizzare tutorial, webinar, pitch e presentazioni.</w:t>
                  </w:r>
                </w:p>
                <w:p w:rsidR="00CD43F0" w:rsidRDefault="00BB40D7">
                  <w:pPr>
                    <w:pStyle w:val="Normale1"/>
                    <w:numPr>
                      <w:ilvl w:val="0"/>
                      <w:numId w:val="8"/>
                    </w:numPr>
                    <w:tabs>
                      <w:tab w:val="left" w:pos="7230"/>
                    </w:tabs>
                    <w:ind w:hanging="360"/>
                    <w:contextualSpacing/>
                    <w:jc w:val="both"/>
                    <w:rPr>
                      <w:sz w:val="24"/>
                      <w:szCs w:val="24"/>
                    </w:rPr>
                  </w:pPr>
                  <w:r>
                    <w:rPr>
                      <w:sz w:val="24"/>
                      <w:szCs w:val="24"/>
                    </w:rPr>
                    <w:t>Sapere raccogliere, gestire e analizzare grandi quantità di dati (Data Analysis).</w:t>
                  </w:r>
                </w:p>
                <w:p w:rsidR="00CD43F0" w:rsidRDefault="00BB40D7">
                  <w:pPr>
                    <w:pStyle w:val="Normale1"/>
                    <w:numPr>
                      <w:ilvl w:val="0"/>
                      <w:numId w:val="8"/>
                    </w:numPr>
                    <w:tabs>
                      <w:tab w:val="left" w:pos="7230"/>
                    </w:tabs>
                    <w:ind w:hanging="360"/>
                    <w:contextualSpacing/>
                    <w:jc w:val="both"/>
                    <w:rPr>
                      <w:sz w:val="24"/>
                      <w:szCs w:val="24"/>
                    </w:rPr>
                  </w:pPr>
                  <w:r>
                    <w:rPr>
                      <w:sz w:val="24"/>
                      <w:szCs w:val="24"/>
                    </w:rPr>
                    <w:t>Sapere progettare e realizzare sistemi e processi di manutenzione predittiva.</w:t>
                  </w:r>
                </w:p>
                <w:p w:rsidR="00CD43F0" w:rsidRDefault="00BB40D7">
                  <w:pPr>
                    <w:pStyle w:val="Normale1"/>
                    <w:numPr>
                      <w:ilvl w:val="0"/>
                      <w:numId w:val="8"/>
                    </w:numPr>
                    <w:tabs>
                      <w:tab w:val="left" w:pos="7230"/>
                    </w:tabs>
                    <w:ind w:hanging="360"/>
                    <w:contextualSpacing/>
                    <w:jc w:val="both"/>
                    <w:rPr>
                      <w:sz w:val="24"/>
                      <w:szCs w:val="24"/>
                    </w:rPr>
                  </w:pPr>
                  <w:r>
                    <w:rPr>
                      <w:sz w:val="24"/>
                      <w:szCs w:val="24"/>
                    </w:rPr>
                    <w:t>Sapere progettare e realizzare sistemi di visione, elaborazione e restituzione  stereoscopica per automazioni  industriali.</w:t>
                  </w:r>
                </w:p>
                <w:p w:rsidR="00CD43F0" w:rsidRDefault="00BB40D7">
                  <w:pPr>
                    <w:pStyle w:val="Normale1"/>
                    <w:numPr>
                      <w:ilvl w:val="0"/>
                      <w:numId w:val="8"/>
                    </w:numPr>
                    <w:tabs>
                      <w:tab w:val="left" w:pos="7230"/>
                    </w:tabs>
                    <w:spacing w:after="120"/>
                    <w:ind w:hanging="360"/>
                    <w:contextualSpacing/>
                    <w:jc w:val="both"/>
                    <w:rPr>
                      <w:sz w:val="24"/>
                      <w:szCs w:val="24"/>
                    </w:rPr>
                  </w:pPr>
                  <w:r>
                    <w:rPr>
                      <w:sz w:val="24"/>
                      <w:szCs w:val="24"/>
                    </w:rPr>
                    <w:t>Sapere sfruttare le risorse di rete per il miglioramento della competitività aziendale.</w:t>
                  </w:r>
                </w:p>
                <w:p w:rsidR="00CD43F0" w:rsidRDefault="00BB40D7">
                  <w:pPr>
                    <w:pStyle w:val="Normale1"/>
                    <w:numPr>
                      <w:ilvl w:val="0"/>
                      <w:numId w:val="8"/>
                    </w:numPr>
                    <w:tabs>
                      <w:tab w:val="left" w:pos="7230"/>
                    </w:tabs>
                    <w:spacing w:after="120"/>
                    <w:ind w:hanging="360"/>
                    <w:contextualSpacing/>
                    <w:jc w:val="both"/>
                    <w:rPr>
                      <w:sz w:val="24"/>
                      <w:szCs w:val="24"/>
                    </w:rPr>
                  </w:pPr>
                  <w:r>
                    <w:rPr>
                      <w:sz w:val="24"/>
                      <w:szCs w:val="24"/>
                    </w:rPr>
                    <w:t>Sapere lavorare per processi.</w:t>
                  </w:r>
                </w:p>
                <w:p w:rsidR="00CD43F0" w:rsidRDefault="00BB40D7">
                  <w:pPr>
                    <w:pStyle w:val="Normale1"/>
                    <w:numPr>
                      <w:ilvl w:val="0"/>
                      <w:numId w:val="8"/>
                    </w:numPr>
                    <w:tabs>
                      <w:tab w:val="left" w:pos="7230"/>
                    </w:tabs>
                    <w:spacing w:after="120"/>
                    <w:ind w:hanging="360"/>
                    <w:contextualSpacing/>
                    <w:jc w:val="both"/>
                    <w:rPr>
                      <w:sz w:val="24"/>
                      <w:szCs w:val="24"/>
                    </w:rPr>
                  </w:pPr>
                  <w:r>
                    <w:rPr>
                      <w:sz w:val="24"/>
                      <w:szCs w:val="24"/>
                    </w:rPr>
                    <w:t>Sapere come ricercare ed ottenere finanziamenti per lo sviluppo di nuove idee (Startup).</w:t>
                  </w:r>
                </w:p>
                <w:p w:rsidR="00CD43F0" w:rsidRDefault="00BB40D7">
                  <w:pPr>
                    <w:pStyle w:val="Normale1"/>
                    <w:numPr>
                      <w:ilvl w:val="0"/>
                      <w:numId w:val="8"/>
                    </w:numPr>
                    <w:tabs>
                      <w:tab w:val="left" w:pos="7230"/>
                    </w:tabs>
                    <w:spacing w:after="120"/>
                    <w:ind w:hanging="360"/>
                    <w:contextualSpacing/>
                    <w:jc w:val="both"/>
                    <w:rPr>
                      <w:sz w:val="24"/>
                      <w:szCs w:val="24"/>
                    </w:rPr>
                  </w:pPr>
                  <w:r>
                    <w:rPr>
                      <w:sz w:val="24"/>
                      <w:szCs w:val="24"/>
                    </w:rPr>
                    <w:t>Sapere sviluppare la propria imprenditorialità.</w:t>
                  </w:r>
                </w:p>
              </w:tc>
            </w:tr>
            <w:tr w:rsidR="00CD43F0">
              <w:tc>
                <w:tcPr>
                  <w:tcW w:w="3256" w:type="dxa"/>
                </w:tcPr>
                <w:p w:rsidR="00CD43F0" w:rsidRDefault="00BB40D7">
                  <w:pPr>
                    <w:pStyle w:val="Normale1"/>
                    <w:tabs>
                      <w:tab w:val="left" w:pos="7230"/>
                    </w:tabs>
                    <w:spacing w:after="120"/>
                    <w:jc w:val="both"/>
                  </w:pPr>
                  <w:r>
                    <w:rPr>
                      <w:b/>
                      <w:color w:val="4F6228"/>
                      <w:sz w:val="24"/>
                      <w:szCs w:val="24"/>
                    </w:rPr>
                    <w:lastRenderedPageBreak/>
                    <w:t xml:space="preserve">Descrizione del processo che si intende realizzare (descrivendo le coerenti e concrete modalità di utilizzo del laboratorio a fini didattici): </w:t>
                  </w:r>
                </w:p>
                <w:p w:rsidR="00CD43F0" w:rsidRDefault="00CD43F0">
                  <w:pPr>
                    <w:pStyle w:val="Normale1"/>
                    <w:tabs>
                      <w:tab w:val="left" w:pos="7230"/>
                    </w:tabs>
                    <w:spacing w:after="120"/>
                    <w:jc w:val="both"/>
                  </w:pPr>
                </w:p>
              </w:tc>
              <w:tc>
                <w:tcPr>
                  <w:tcW w:w="11340" w:type="dxa"/>
                </w:tcPr>
                <w:p w:rsidR="00CD43F0" w:rsidRDefault="00BB40D7">
                  <w:pPr>
                    <w:pStyle w:val="Normale1"/>
                    <w:tabs>
                      <w:tab w:val="left" w:pos="7230"/>
                    </w:tabs>
                    <w:spacing w:after="120"/>
                    <w:jc w:val="both"/>
                  </w:pPr>
                  <w:r>
                    <w:rPr>
                      <w:sz w:val="24"/>
                      <w:szCs w:val="24"/>
                    </w:rPr>
                    <w:t>Il modello tradizionale di apprendimento presuppone un tipo di studente che non esiste più, per un insieme di fattori convergenti. La scuola ha perso il monopolio quale agenzia formativa e in questo contesto, diventa sempre più determinante, anche come riferimento valoriale, il gruppo dei pari.</w:t>
                  </w:r>
                </w:p>
                <w:p w:rsidR="00CD43F0" w:rsidRDefault="00BB40D7">
                  <w:pPr>
                    <w:pStyle w:val="Normale1"/>
                    <w:tabs>
                      <w:tab w:val="left" w:pos="7230"/>
                    </w:tabs>
                    <w:spacing w:after="120"/>
                    <w:jc w:val="both"/>
                  </w:pPr>
                  <w:r>
                    <w:rPr>
                      <w:sz w:val="24"/>
                      <w:szCs w:val="24"/>
                    </w:rPr>
                    <w:t>Infatti, le abilità e le competenze che servono oggi e nel futuro non possono essere imparate solo attraverso l’insegnamento frontale delle discipline perché richiedono approcci innovativi: imparare-facendo, lavorare insieme e apprendimento basato su progetti. I meccanismi stessi dell’apprendimento sono radicalmente modificati dallo sviluppo delle nuove tecnologie e delle concrete modalità di utilizzo del laboratorio:</w:t>
                  </w:r>
                </w:p>
                <w:p w:rsidR="00CD43F0" w:rsidRDefault="00BB40D7">
                  <w:pPr>
                    <w:pStyle w:val="Normale1"/>
                    <w:numPr>
                      <w:ilvl w:val="0"/>
                      <w:numId w:val="6"/>
                    </w:numPr>
                    <w:tabs>
                      <w:tab w:val="left" w:pos="7230"/>
                    </w:tabs>
                    <w:spacing w:after="120"/>
                    <w:ind w:hanging="360"/>
                    <w:contextualSpacing/>
                    <w:jc w:val="both"/>
                    <w:rPr>
                      <w:sz w:val="24"/>
                      <w:szCs w:val="24"/>
                    </w:rPr>
                  </w:pPr>
                  <w:r>
                    <w:rPr>
                      <w:sz w:val="24"/>
                      <w:szCs w:val="24"/>
                    </w:rPr>
                    <w:t>HUB/FABLAB: Punto di incontro e di coworking per giovani, aziende, makers e appassionati.</w:t>
                  </w:r>
                </w:p>
                <w:p w:rsidR="00CD43F0" w:rsidRDefault="00BB40D7">
                  <w:pPr>
                    <w:pStyle w:val="Normale1"/>
                    <w:numPr>
                      <w:ilvl w:val="0"/>
                      <w:numId w:val="6"/>
                    </w:numPr>
                    <w:tabs>
                      <w:tab w:val="left" w:pos="7230"/>
                    </w:tabs>
                    <w:spacing w:after="120"/>
                    <w:ind w:hanging="360"/>
                    <w:contextualSpacing/>
                    <w:jc w:val="both"/>
                    <w:rPr>
                      <w:sz w:val="24"/>
                      <w:szCs w:val="24"/>
                    </w:rPr>
                  </w:pPr>
                  <w:r>
                    <w:rPr>
                      <w:sz w:val="24"/>
                      <w:szCs w:val="24"/>
                    </w:rPr>
                    <w:t>Condivisione delle competenze attraverso il confronto diretto e la pubblicazione online delle attività svolte.</w:t>
                  </w:r>
                </w:p>
                <w:p w:rsidR="00CD43F0" w:rsidRDefault="00BB40D7">
                  <w:pPr>
                    <w:pStyle w:val="Normale1"/>
                    <w:numPr>
                      <w:ilvl w:val="0"/>
                      <w:numId w:val="6"/>
                    </w:numPr>
                    <w:tabs>
                      <w:tab w:val="left" w:pos="7230"/>
                    </w:tabs>
                    <w:spacing w:after="120"/>
                    <w:ind w:hanging="360"/>
                    <w:contextualSpacing/>
                    <w:jc w:val="both"/>
                    <w:rPr>
                      <w:sz w:val="24"/>
                      <w:szCs w:val="24"/>
                    </w:rPr>
                  </w:pPr>
                  <w:r>
                    <w:rPr>
                      <w:sz w:val="24"/>
                      <w:szCs w:val="24"/>
                    </w:rPr>
                    <w:t>Seminari per la diffusione delle best practice, dei casi di successo e la formazione per lo sviluppo delle competenze 4.0.</w:t>
                  </w:r>
                </w:p>
                <w:p w:rsidR="00CD43F0" w:rsidRDefault="00BB40D7">
                  <w:pPr>
                    <w:pStyle w:val="Normale1"/>
                    <w:numPr>
                      <w:ilvl w:val="0"/>
                      <w:numId w:val="9"/>
                    </w:numPr>
                    <w:tabs>
                      <w:tab w:val="left" w:pos="7230"/>
                    </w:tabs>
                    <w:spacing w:after="120"/>
                    <w:ind w:hanging="360"/>
                    <w:contextualSpacing/>
                    <w:jc w:val="both"/>
                    <w:rPr>
                      <w:sz w:val="24"/>
                      <w:szCs w:val="24"/>
                    </w:rPr>
                  </w:pPr>
                  <w:r>
                    <w:rPr>
                      <w:sz w:val="24"/>
                      <w:szCs w:val="24"/>
                    </w:rPr>
                    <w:t>Workshop (attività pratiche curate da aziende e professionisti partner).</w:t>
                  </w:r>
                </w:p>
                <w:p w:rsidR="00CD43F0" w:rsidRDefault="00BB40D7">
                  <w:pPr>
                    <w:pStyle w:val="Normale1"/>
                    <w:numPr>
                      <w:ilvl w:val="0"/>
                      <w:numId w:val="9"/>
                    </w:numPr>
                    <w:tabs>
                      <w:tab w:val="left" w:pos="7230"/>
                    </w:tabs>
                    <w:spacing w:after="120"/>
                    <w:ind w:hanging="360"/>
                    <w:contextualSpacing/>
                    <w:jc w:val="both"/>
                    <w:rPr>
                      <w:sz w:val="24"/>
                      <w:szCs w:val="24"/>
                    </w:rPr>
                  </w:pPr>
                  <w:r>
                    <w:rPr>
                      <w:sz w:val="24"/>
                      <w:szCs w:val="24"/>
                    </w:rPr>
                    <w:lastRenderedPageBreak/>
                    <w:t>Open day laboratoriali per la presentazione e la sperimentazione diretta di nuove tecnologie e/o soluzioni innovative quali “Linux day, Arduino day, Raspberry day,...</w:t>
                  </w:r>
                </w:p>
                <w:p w:rsidR="00CD43F0" w:rsidRDefault="00BB40D7">
                  <w:pPr>
                    <w:pStyle w:val="Normale1"/>
                    <w:numPr>
                      <w:ilvl w:val="0"/>
                      <w:numId w:val="9"/>
                    </w:numPr>
                    <w:tabs>
                      <w:tab w:val="left" w:pos="7230"/>
                    </w:tabs>
                    <w:spacing w:after="120"/>
                    <w:ind w:hanging="360"/>
                    <w:contextualSpacing/>
                    <w:jc w:val="both"/>
                    <w:rPr>
                      <w:sz w:val="24"/>
                      <w:szCs w:val="24"/>
                    </w:rPr>
                  </w:pPr>
                  <w:r>
                    <w:rPr>
                      <w:sz w:val="24"/>
                      <w:szCs w:val="24"/>
                    </w:rPr>
                    <w:t>Creazione di Open space e strutturazione dei locali sul modello delle Google War Room, attrezzati con whiteboard murali, software opensource di editing audio e video, applicazioni per la progettualità collaborativa, arredi semovibili per la riorganizzazione degli spazi in base alle diverse esigenze formative, videocamere e attrezzature multimediali per la registrazione delle attività di progettazione, realizzazione e presentazione.</w:t>
                  </w:r>
                </w:p>
              </w:tc>
            </w:tr>
            <w:tr w:rsidR="00CD43F0">
              <w:trPr>
                <w:trHeight w:val="1680"/>
              </w:trPr>
              <w:tc>
                <w:tcPr>
                  <w:tcW w:w="3256" w:type="dxa"/>
                </w:tcPr>
                <w:p w:rsidR="00CD43F0" w:rsidRDefault="00BB40D7">
                  <w:pPr>
                    <w:pStyle w:val="Normale1"/>
                    <w:tabs>
                      <w:tab w:val="left" w:pos="7230"/>
                    </w:tabs>
                    <w:spacing w:after="120"/>
                    <w:jc w:val="both"/>
                  </w:pPr>
                  <w:r>
                    <w:rPr>
                      <w:b/>
                      <w:color w:val="4F6228"/>
                      <w:sz w:val="24"/>
                      <w:szCs w:val="24"/>
                    </w:rPr>
                    <w:lastRenderedPageBreak/>
                    <w:t>Strumentazioni necessarie:</w:t>
                  </w:r>
                </w:p>
              </w:tc>
              <w:tc>
                <w:tcPr>
                  <w:tcW w:w="11340" w:type="dxa"/>
                </w:tcPr>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Hardware e software per lo sviluppo di applicazioni per l’Internet of Things.</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Hardware e software per il disegno e  l’elaborazione dati 3D.</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Rete e Access Point a banda larga per l’accesso alle tecnologie di cloud computing.</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Videoproiettori interattivi ad ottica corta.</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Tavolette grafiche per il disegno tecnico e per il fotoritocco.</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Strumenti per videoconferenza, produzione e riproduzione multimediale.</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Stampanti e scanner 3d per la prototipazione rapida.</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Robot e bracci antropomorfi a ventuno gradi di libertà.</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Strumenti di realtà aumentata, visori olografici e visori 3D.</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Attrezzature per lo studio e l’implementazione di interfacce uomo macchina (Human Machine  Interface, Brain Computer Interaction).</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Software per data analisys e data modeling.</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Attrezzature per il taglio laser.</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Piattaforme per le progettazione e la prototipazione di componentistica elettronica.</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Workstation e attrezzature per la rete informatica.</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Componentistica oleodinamica ed oleomeccatronica.</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Sistemi meccanici e meccatronici.</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Banchi di lavoro e utensileria varia.</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Banchi di test per il controllo qualità automatizzato e l’analisi funzionale predittiva.</w:t>
                  </w:r>
                </w:p>
                <w:p w:rsidR="00CD43F0" w:rsidRDefault="00BB40D7">
                  <w:pPr>
                    <w:pStyle w:val="Normale1"/>
                    <w:numPr>
                      <w:ilvl w:val="0"/>
                      <w:numId w:val="3"/>
                    </w:numPr>
                    <w:tabs>
                      <w:tab w:val="left" w:pos="7230"/>
                    </w:tabs>
                    <w:spacing w:line="276" w:lineRule="auto"/>
                    <w:ind w:hanging="360"/>
                    <w:contextualSpacing/>
                    <w:jc w:val="both"/>
                    <w:rPr>
                      <w:sz w:val="24"/>
                      <w:szCs w:val="24"/>
                    </w:rPr>
                  </w:pPr>
                  <w:r>
                    <w:rPr>
                      <w:sz w:val="24"/>
                      <w:szCs w:val="24"/>
                    </w:rPr>
                    <w:t>Banchi elettronici con stazione di saldatura professionale, oscilloscopio, sistemi di misurazione per contatto, sistemi di misurazione per visione.</w:t>
                  </w:r>
                </w:p>
                <w:p w:rsidR="00CD43F0" w:rsidRDefault="00BB40D7">
                  <w:pPr>
                    <w:pStyle w:val="Normale1"/>
                    <w:numPr>
                      <w:ilvl w:val="0"/>
                      <w:numId w:val="3"/>
                    </w:numPr>
                    <w:tabs>
                      <w:tab w:val="left" w:pos="7230"/>
                    </w:tabs>
                    <w:spacing w:after="200" w:line="276" w:lineRule="auto"/>
                    <w:ind w:hanging="360"/>
                    <w:contextualSpacing/>
                    <w:jc w:val="both"/>
                    <w:rPr>
                      <w:sz w:val="24"/>
                      <w:szCs w:val="24"/>
                    </w:rPr>
                  </w:pPr>
                  <w:r>
                    <w:rPr>
                      <w:sz w:val="24"/>
                      <w:szCs w:val="24"/>
                    </w:rPr>
                    <w:t>Sistema aspirazione fumi, arredi (banchi, sedie, attaccapanni, armadietti, ecc.).</w:t>
                  </w:r>
                </w:p>
              </w:tc>
            </w:tr>
          </w:tbl>
          <w:p w:rsidR="00CD43F0" w:rsidRDefault="00CD43F0">
            <w:pPr>
              <w:pStyle w:val="Normale1"/>
              <w:tabs>
                <w:tab w:val="left" w:pos="7230"/>
              </w:tabs>
              <w:spacing w:after="120"/>
              <w:jc w:val="both"/>
            </w:pPr>
          </w:p>
        </w:tc>
      </w:tr>
      <w:tr w:rsidR="00CD43F0" w:rsidTr="00267467">
        <w:trPr>
          <w:jc w:val="center"/>
        </w:trPr>
        <w:tc>
          <w:tcPr>
            <w:tcW w:w="14992" w:type="dxa"/>
            <w:shd w:val="clear" w:color="auto" w:fill="D7E3BC"/>
          </w:tcPr>
          <w:p w:rsidR="00CD43F0" w:rsidRDefault="00BB40D7">
            <w:pPr>
              <w:pStyle w:val="Normale1"/>
              <w:tabs>
                <w:tab w:val="left" w:pos="7230"/>
              </w:tabs>
              <w:spacing w:after="120"/>
              <w:jc w:val="both"/>
            </w:pPr>
            <w:r>
              <w:rPr>
                <w:b/>
                <w:color w:val="4F6228"/>
                <w:sz w:val="24"/>
                <w:szCs w:val="24"/>
              </w:rPr>
              <w:lastRenderedPageBreak/>
              <w:t xml:space="preserve">Descrizione del ruolo effettivo dei diversi soggetti e attori coinvolti nel progetto di realizzazione dei laboratori (articolo 4, comma 2, lett. </w:t>
            </w:r>
            <w:r>
              <w:rPr>
                <w:b/>
                <w:i/>
                <w:color w:val="4F6228"/>
                <w:sz w:val="24"/>
                <w:szCs w:val="24"/>
              </w:rPr>
              <w:t>c</w:t>
            </w:r>
            <w:r>
              <w:rPr>
                <w:b/>
                <w:color w:val="4F6228"/>
                <w:sz w:val="24"/>
                <w:szCs w:val="24"/>
              </w:rPr>
              <w:t xml:space="preserve">), max 10 punti). </w:t>
            </w:r>
          </w:p>
          <w:p w:rsidR="00CD43F0" w:rsidRDefault="00BB40D7">
            <w:pPr>
              <w:pStyle w:val="Normale1"/>
              <w:tabs>
                <w:tab w:val="left" w:pos="7230"/>
              </w:tabs>
              <w:spacing w:after="120"/>
              <w:jc w:val="both"/>
            </w:pPr>
            <w:r>
              <w:rPr>
                <w:sz w:val="24"/>
                <w:szCs w:val="24"/>
              </w:rPr>
              <w:t>Le aziende partner collaborano al progetto con iniziative formative volte a generare nuove competenze, favorendo, in tal modo, l’innovazione tecnologica nelle imprese locali. Attraverso manager e tecnici aziendali verranno presentati</w:t>
            </w:r>
            <w:r>
              <w:rPr>
                <w:color w:val="FF0000"/>
                <w:sz w:val="24"/>
                <w:szCs w:val="24"/>
              </w:rPr>
              <w:t xml:space="preserve"> </w:t>
            </w:r>
            <w:r>
              <w:rPr>
                <w:sz w:val="24"/>
                <w:szCs w:val="24"/>
              </w:rPr>
              <w:t>agli studenti: i nuovi paradigmi, i temi caldi e le sfide aperte, lo stato dell’arte e i trend evolutivi delle tecnologie ritenute di maggior interesse per le imprese, il tutto al fine di far crescere nei partecipanti la consapevolezza e la conoscenza delle dinamiche presenti nei principali settori di attività economia presenti sul territorio.</w:t>
            </w:r>
          </w:p>
          <w:p w:rsidR="00CD43F0" w:rsidRDefault="00BB40D7">
            <w:pPr>
              <w:pStyle w:val="Normale1"/>
              <w:tabs>
                <w:tab w:val="left" w:pos="7230"/>
              </w:tabs>
              <w:spacing w:after="120"/>
              <w:jc w:val="both"/>
            </w:pPr>
            <w:r>
              <w:rPr>
                <w:sz w:val="24"/>
                <w:szCs w:val="24"/>
              </w:rPr>
              <w:t>Le imprese</w:t>
            </w:r>
            <w:r w:rsidR="00A83FE9">
              <w:rPr>
                <w:sz w:val="24"/>
                <w:szCs w:val="24"/>
              </w:rPr>
              <w:t xml:space="preserve">, Unindustria e CCIAA di Reggio Emilia collaborano </w:t>
            </w:r>
            <w:r>
              <w:rPr>
                <w:sz w:val="24"/>
                <w:szCs w:val="24"/>
              </w:rPr>
              <w:t>all’identificazione delle professionalità e dei fabbisogni di competenze, in modo da rendere la formazione dei giovani sempre più vicina alle crescenti esigenze richieste dal mondo del lavoro, e alla realizzazione di attività di alternanza scuola-lavoro caratterizzate da qualità e innovazione progettuale. Mutuando la metodologia degli hackathon, le imprese propongono ai giovani di identificare e sviluppare dei progetti di innovazione per rispondere ad un proprio interesse di natura industriale. La presenza della Fondazione REI</w:t>
            </w:r>
            <w:r w:rsidR="00A83FE9">
              <w:rPr>
                <w:sz w:val="24"/>
                <w:szCs w:val="24"/>
              </w:rPr>
              <w:t xml:space="preserve">, dell’Università di Modena e Reggio Emilia e della fondazione ITS Maker </w:t>
            </w:r>
            <w:r>
              <w:rPr>
                <w:sz w:val="24"/>
                <w:szCs w:val="24"/>
              </w:rPr>
              <w:t>è finalizzata a stimolare l'attività innovativa e a promuovere la cultura dell’innovazione presso i giovani, leva fondamentale per il riposizionamento competitivo del sistema economico reggiano.</w:t>
            </w:r>
          </w:p>
          <w:p w:rsidR="00CD43F0" w:rsidRDefault="00BB40D7">
            <w:pPr>
              <w:pStyle w:val="Normale1"/>
              <w:tabs>
                <w:tab w:val="left" w:pos="7230"/>
              </w:tabs>
              <w:spacing w:after="120"/>
              <w:jc w:val="both"/>
            </w:pPr>
            <w:r>
              <w:rPr>
                <w:sz w:val="24"/>
                <w:szCs w:val="24"/>
              </w:rPr>
              <w:t>Umana e CIS Scuola per la</w:t>
            </w:r>
            <w:r w:rsidR="00A83FE9">
              <w:rPr>
                <w:sz w:val="24"/>
                <w:szCs w:val="24"/>
              </w:rPr>
              <w:t xml:space="preserve"> gestione d’impresa svolgeranno</w:t>
            </w:r>
            <w:r>
              <w:rPr>
                <w:sz w:val="24"/>
                <w:szCs w:val="24"/>
              </w:rPr>
              <w:t xml:space="preserve"> attività propedeutiche al collocamento al lavoro e alla riqualificazione dei giovani, tra cui interventi di orientamento e formazione per la ricerca attiva del lavoro e la promozione di tirocini.</w:t>
            </w:r>
          </w:p>
          <w:p w:rsidR="00A83FE9" w:rsidRDefault="00B05D30">
            <w:pPr>
              <w:pStyle w:val="Normale1"/>
              <w:tabs>
                <w:tab w:val="left" w:pos="7230"/>
              </w:tabs>
              <w:spacing w:after="120"/>
              <w:jc w:val="both"/>
              <w:rPr>
                <w:sz w:val="24"/>
                <w:szCs w:val="24"/>
              </w:rPr>
            </w:pPr>
            <w:r>
              <w:rPr>
                <w:sz w:val="24"/>
                <w:szCs w:val="24"/>
              </w:rPr>
              <w:t>Il Comune di Reggio Emilia fornisce i locali che ospiteranno il laboratorio.</w:t>
            </w:r>
          </w:p>
          <w:p w:rsidR="00B05D30" w:rsidRDefault="00B05D30">
            <w:pPr>
              <w:pStyle w:val="Normale1"/>
              <w:tabs>
                <w:tab w:val="left" w:pos="7230"/>
              </w:tabs>
              <w:spacing w:after="120"/>
              <w:jc w:val="both"/>
              <w:rPr>
                <w:sz w:val="24"/>
                <w:szCs w:val="24"/>
              </w:rPr>
            </w:pPr>
            <w:r>
              <w:rPr>
                <w:sz w:val="24"/>
                <w:szCs w:val="24"/>
              </w:rPr>
              <w:t>La Provincia di Reggio Emilia contribuisce ad inserire e promuovere le attività del laboratorio nel piano provinciale dell’offerta formativa e a sostenere le attività di orientamento in entrata e in uscita rispetto alle scuole secondarie di II grado.</w:t>
            </w:r>
          </w:p>
          <w:p w:rsidR="00A83FE9" w:rsidRDefault="00B05D30">
            <w:pPr>
              <w:pStyle w:val="Normale1"/>
              <w:tabs>
                <w:tab w:val="left" w:pos="7230"/>
              </w:tabs>
              <w:spacing w:after="120"/>
              <w:jc w:val="both"/>
              <w:rPr>
                <w:sz w:val="24"/>
                <w:szCs w:val="24"/>
              </w:rPr>
            </w:pPr>
            <w:r>
              <w:rPr>
                <w:sz w:val="24"/>
                <w:szCs w:val="24"/>
              </w:rPr>
              <w:t>Le scuole del</w:t>
            </w:r>
            <w:r w:rsidR="00A83FE9">
              <w:rPr>
                <w:sz w:val="24"/>
                <w:szCs w:val="24"/>
              </w:rPr>
              <w:t xml:space="preserve"> primo ciclo</w:t>
            </w:r>
            <w:r>
              <w:rPr>
                <w:sz w:val="24"/>
                <w:szCs w:val="24"/>
              </w:rPr>
              <w:t xml:space="preserve"> collaborano con le loro esigenze formative alla riprogettazione continua delle attività e all’orientamento delle giovani generazioni alla scienza e alla cultura tecnica.</w:t>
            </w:r>
          </w:p>
          <w:p w:rsidR="00A83FE9" w:rsidRDefault="00A83FE9" w:rsidP="00B05D30">
            <w:pPr>
              <w:pStyle w:val="Normale1"/>
              <w:tabs>
                <w:tab w:val="left" w:pos="7230"/>
              </w:tabs>
              <w:spacing w:after="120"/>
              <w:jc w:val="both"/>
            </w:pPr>
            <w:r>
              <w:rPr>
                <w:sz w:val="24"/>
                <w:szCs w:val="24"/>
              </w:rPr>
              <w:t xml:space="preserve">La Fondazione Manodori e Unindustria erogano un finanziamento </w:t>
            </w:r>
            <w:r w:rsidR="00B05D30">
              <w:rPr>
                <w:sz w:val="24"/>
                <w:szCs w:val="24"/>
              </w:rPr>
              <w:t>complessivo</w:t>
            </w:r>
            <w:r>
              <w:rPr>
                <w:sz w:val="24"/>
                <w:szCs w:val="24"/>
              </w:rPr>
              <w:t xml:space="preserve"> di 50.000</w:t>
            </w:r>
            <w:r w:rsidR="00B05D30">
              <w:rPr>
                <w:sz w:val="24"/>
                <w:szCs w:val="24"/>
              </w:rPr>
              <w:t xml:space="preserve"> euro a sostegno del progetto di realizzazione del laboratorio.</w:t>
            </w:r>
          </w:p>
        </w:tc>
      </w:tr>
    </w:tbl>
    <w:p w:rsidR="00267467" w:rsidRDefault="00267467">
      <w:r>
        <w:br w:type="page"/>
      </w:r>
    </w:p>
    <w:tbl>
      <w:tblPr>
        <w:tblStyle w:val="a5"/>
        <w:tblW w:w="14992" w:type="dxa"/>
        <w:jc w:val="center"/>
        <w:tblInd w:w="0" w:type="dxa"/>
        <w:tblBorders>
          <w:top w:val="single" w:sz="12" w:space="0" w:color="4F6228"/>
          <w:left w:val="single" w:sz="12" w:space="0" w:color="4F6228"/>
          <w:bottom w:val="single" w:sz="12" w:space="0" w:color="4F6228"/>
          <w:right w:val="single" w:sz="12" w:space="0" w:color="4F6228"/>
          <w:insideH w:val="single" w:sz="12" w:space="0" w:color="4F6228"/>
          <w:insideV w:val="single" w:sz="12" w:space="0" w:color="4F6228"/>
        </w:tblBorders>
        <w:tblLayout w:type="fixed"/>
        <w:tblLook w:val="0400"/>
      </w:tblPr>
      <w:tblGrid>
        <w:gridCol w:w="14992"/>
      </w:tblGrid>
      <w:tr w:rsidR="00CD43F0" w:rsidTr="00267467">
        <w:trPr>
          <w:jc w:val="center"/>
        </w:trPr>
        <w:tc>
          <w:tcPr>
            <w:tcW w:w="14992" w:type="dxa"/>
            <w:shd w:val="clear" w:color="auto" w:fill="D7E3BC"/>
          </w:tcPr>
          <w:p w:rsidR="00CD43F0" w:rsidRDefault="00BB40D7">
            <w:pPr>
              <w:pStyle w:val="Normale1"/>
              <w:tabs>
                <w:tab w:val="left" w:pos="7230"/>
              </w:tabs>
              <w:spacing w:after="120"/>
              <w:jc w:val="both"/>
            </w:pPr>
            <w:r>
              <w:rPr>
                <w:b/>
                <w:color w:val="4F6228"/>
                <w:sz w:val="24"/>
                <w:szCs w:val="24"/>
              </w:rPr>
              <w:lastRenderedPageBreak/>
              <w:t xml:space="preserve">Adeguatezza del progetto alla vocazione produttiva, culturale e sociale di ciascun territorio, specificando la coerenza con il tessuto sociale  e produttivo (articolo 4, comma 2, lett. </w:t>
            </w:r>
            <w:r>
              <w:rPr>
                <w:b/>
                <w:i/>
                <w:color w:val="4F6228"/>
                <w:sz w:val="24"/>
                <w:szCs w:val="24"/>
              </w:rPr>
              <w:t>d)</w:t>
            </w:r>
            <w:r>
              <w:rPr>
                <w:b/>
                <w:color w:val="4F6228"/>
                <w:sz w:val="24"/>
                <w:szCs w:val="24"/>
              </w:rPr>
              <w:t>, max 15 punti):</w:t>
            </w:r>
          </w:p>
          <w:tbl>
            <w:tblPr>
              <w:tblStyle w:val="a4"/>
              <w:tblW w:w="14761" w:type="dxa"/>
              <w:tblInd w:w="0" w:type="dxa"/>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ayout w:type="fixed"/>
              <w:tblLook w:val="0400"/>
            </w:tblPr>
            <w:tblGrid>
              <w:gridCol w:w="14761"/>
            </w:tblGrid>
            <w:tr w:rsidR="00CD43F0">
              <w:tc>
                <w:tcPr>
                  <w:tcW w:w="14761" w:type="dxa"/>
                </w:tcPr>
                <w:p w:rsidR="00CD43F0" w:rsidRDefault="00BB40D7" w:rsidP="004B37BC">
                  <w:pPr>
                    <w:pStyle w:val="Normale1"/>
                    <w:tabs>
                      <w:tab w:val="left" w:pos="7230"/>
                    </w:tabs>
                    <w:spacing w:after="100"/>
                    <w:jc w:val="both"/>
                  </w:pPr>
                  <w:r>
                    <w:rPr>
                      <w:b/>
                      <w:color w:val="4F6228"/>
                      <w:sz w:val="24"/>
                      <w:szCs w:val="24"/>
                    </w:rPr>
                    <w:t>Descrizione vocazione produttiva, culturale e sociale del territorio:</w:t>
                  </w:r>
                </w:p>
                <w:p w:rsidR="00CD43F0" w:rsidRDefault="00BB40D7" w:rsidP="004B37BC">
                  <w:pPr>
                    <w:pStyle w:val="Normale1"/>
                    <w:tabs>
                      <w:tab w:val="left" w:pos="7230"/>
                    </w:tabs>
                    <w:spacing w:after="100"/>
                    <w:jc w:val="both"/>
                  </w:pPr>
                  <w:r>
                    <w:rPr>
                      <w:sz w:val="24"/>
                      <w:szCs w:val="24"/>
                    </w:rPr>
                    <w:t>In provincia di Reggio Emilia vi sono 4 filiere molto importanti e con potenzialità di innovazione e di creazione di posti di lavoro: la meccanica-meccatronica, il sistema moda, l’agro-alimentare e la produzione di piastrelle in ceramica.</w:t>
                  </w:r>
                </w:p>
                <w:p w:rsidR="00CD43F0" w:rsidRDefault="00BB40D7" w:rsidP="004B37BC">
                  <w:pPr>
                    <w:pStyle w:val="Normale1"/>
                    <w:tabs>
                      <w:tab w:val="left" w:pos="7230"/>
                    </w:tabs>
                    <w:spacing w:after="100"/>
                    <w:jc w:val="both"/>
                  </w:pPr>
                  <w:r>
                    <w:rPr>
                      <w:sz w:val="24"/>
                      <w:szCs w:val="24"/>
                    </w:rPr>
                    <w:t>La prima è quella che maggiormente esprime la vocazione produttiva reggiana, nonché quella più vicina ai percorsi di istruzione presenti nelle scuole che hanno ideato il progetto, all’offerta formativa della Fondazione ITS Maker, nonché ai corsi di laurea attivati a Reggio Emilia dal Dipartimento di Scienze e Metodi dell'Ingegneria dell’Università di Modena e Reggio Emilia. La filiera della meccanica-meccatronica rappresenta sicuramente il settore produttivo del territorio nel quale l’innovazione tecnologica è più spinta e in cui, senza una proficua interazione tra sistema dell’education e imprese, più si rischia lo scollamento tra i profili in uscita dai percorsi formativi e le competenze richieste dalle imprese.</w:t>
                  </w:r>
                </w:p>
                <w:p w:rsidR="00CD43F0" w:rsidRDefault="00BB40D7" w:rsidP="004B37BC">
                  <w:pPr>
                    <w:pStyle w:val="Normale1"/>
                    <w:tabs>
                      <w:tab w:val="left" w:pos="7230"/>
                    </w:tabs>
                    <w:spacing w:after="100"/>
                    <w:jc w:val="both"/>
                  </w:pPr>
                  <w:r>
                    <w:rPr>
                      <w:sz w:val="24"/>
                      <w:szCs w:val="24"/>
                    </w:rPr>
                    <w:t xml:space="preserve">La provincia di Reggio Emilia esprime un sistema industriale originale organizzato in distretti e filiere intrecciate alla dimensione territoriale, in cui sono radicati cluster di importanti aziende operanti nei settori dell’oleodinamica (con primari gruppi italiani come Walvoil, Ognibene Power, Brevini Fluid Power, Galtech, e stranieri quali Bosch, Danfoss Power Solutions, Bucher Hydraulics), pompe idrauliche (Interpump Group , Comet, IP Cleaning), motoristica (Lombardini-Kohler, Landi Renzo), ingranaggi e trasmissioni (Comer Industries, Brevini Power Transmission, Reggiana Riduttori), meccanica agricola (Argo Tractors, Emak, Ama),  elettronica e automazione (Tetrapak, Elettric 80, AEB) e tante altre, in un elenco che vuole essere solo esemplificativo e non certamente esaustivo. Tra l’altro, nel settore dell’oleodinamica l’Italia esprime un ruolo di preminenza tecnologica e il 30-40% delle aziende italiane hanno sede in provincia di Reggio Emilia. </w:t>
                  </w:r>
                </w:p>
                <w:p w:rsidR="00CD43F0" w:rsidRDefault="00BB40D7" w:rsidP="004B37BC">
                  <w:pPr>
                    <w:pStyle w:val="Normale1"/>
                    <w:tabs>
                      <w:tab w:val="left" w:pos="7230"/>
                    </w:tabs>
                    <w:spacing w:after="100"/>
                    <w:jc w:val="both"/>
                  </w:pPr>
                  <w:r>
                    <w:rPr>
                      <w:sz w:val="24"/>
                      <w:szCs w:val="24"/>
                    </w:rPr>
                    <w:t>Il dialogo e il confronto con le imprese dei settori sopra citati ci ha consentito di definire le competenze necessarie per garantire l’allineamento fra la domanda e l’offerta, di delineare le attività da realizzare all’interno del laboratorio e di individuare le strumentazioni più idonee al raggiungimento degli obiettivi prefissati.</w:t>
                  </w:r>
                </w:p>
              </w:tc>
            </w:tr>
            <w:tr w:rsidR="00CD43F0">
              <w:tc>
                <w:tcPr>
                  <w:tcW w:w="14761" w:type="dxa"/>
                </w:tcPr>
                <w:p w:rsidR="00CD43F0" w:rsidRDefault="00BB40D7" w:rsidP="004B37BC">
                  <w:pPr>
                    <w:pStyle w:val="Normale1"/>
                    <w:tabs>
                      <w:tab w:val="left" w:pos="7230"/>
                    </w:tabs>
                    <w:spacing w:after="100"/>
                    <w:jc w:val="both"/>
                  </w:pPr>
                  <w:r>
                    <w:rPr>
                      <w:b/>
                      <w:color w:val="4F6228"/>
                      <w:sz w:val="24"/>
                      <w:szCs w:val="24"/>
                    </w:rPr>
                    <w:t xml:space="preserve">Descrizione della coerenza del progetto e del laboratorio con la vocazione produttiva, culturale e sociale del territorio: </w:t>
                  </w:r>
                </w:p>
                <w:p w:rsidR="00CD43F0" w:rsidRDefault="00BB40D7" w:rsidP="004B37BC">
                  <w:pPr>
                    <w:pStyle w:val="Normale1"/>
                    <w:tabs>
                      <w:tab w:val="left" w:pos="7230"/>
                    </w:tabs>
                    <w:spacing w:after="100"/>
                    <w:jc w:val="both"/>
                  </w:pPr>
                  <w:r>
                    <w:rPr>
                      <w:sz w:val="24"/>
                      <w:szCs w:val="24"/>
                    </w:rPr>
                    <w:t>Nella definizione del progetto siamo partiti da un’analisi dei fabbisogni di professionalità espressi dalle eccellenze tecnologiche e imprenditoriali presenti sul territorio, con il duplice obiettivo di sostenere l’occupabilità dei giovani (favorendo il loro accesso ad opportunità di lavoro altamente qualificato) e di rispondere più efficacemente alle vocazioni produttive della provincia di Reggio Emilia. Per raggiungere questo obiettivo, la partecipazione delle imprese è stata essenziale.</w:t>
                  </w:r>
                </w:p>
                <w:p w:rsidR="00CD43F0" w:rsidRDefault="00BB40D7" w:rsidP="004B37BC">
                  <w:pPr>
                    <w:pStyle w:val="Normale1"/>
                    <w:tabs>
                      <w:tab w:val="left" w:pos="7230"/>
                    </w:tabs>
                    <w:spacing w:after="100"/>
                    <w:jc w:val="both"/>
                    <w:rPr>
                      <w:sz w:val="24"/>
                      <w:szCs w:val="24"/>
                    </w:rPr>
                  </w:pPr>
                  <w:r>
                    <w:rPr>
                      <w:sz w:val="24"/>
                      <w:szCs w:val="24"/>
                    </w:rPr>
                    <w:t xml:space="preserve">Le attività individuate sono riferibili a due ambiti: il primo più in ottica di Industria 4.0, IOT  e </w:t>
                  </w:r>
                  <w:r>
                    <w:rPr>
                      <w:i/>
                      <w:sz w:val="24"/>
                      <w:szCs w:val="24"/>
                    </w:rPr>
                    <w:t>Smart Manufacturing</w:t>
                  </w:r>
                  <w:r>
                    <w:rPr>
                      <w:sz w:val="24"/>
                      <w:szCs w:val="24"/>
                    </w:rPr>
                    <w:t xml:space="preserve">; il secondo invece fa riferimento alle competenze necessarie per operare nel </w:t>
                  </w:r>
                  <w:r>
                    <w:rPr>
                      <w:i/>
                      <w:sz w:val="24"/>
                      <w:szCs w:val="24"/>
                    </w:rPr>
                    <w:t>testing</w:t>
                  </w:r>
                  <w:r>
                    <w:rPr>
                      <w:sz w:val="24"/>
                      <w:szCs w:val="24"/>
                    </w:rPr>
                    <w:t xml:space="preserve"> di laboratorio in area tecnica, nell’assistenza post-vendita, nel controllo qualità, nel </w:t>
                  </w:r>
                  <w:r>
                    <w:rPr>
                      <w:i/>
                      <w:sz w:val="24"/>
                      <w:szCs w:val="24"/>
                    </w:rPr>
                    <w:t>field-test</w:t>
                  </w:r>
                  <w:r>
                    <w:rPr>
                      <w:sz w:val="24"/>
                      <w:szCs w:val="24"/>
                    </w:rPr>
                    <w:t>, nell’ufficio tecnico di produzione e nell’ufficio metrologico. Nelle aziende tecnologicamente all’avanguardia, svariati ruoli hanno, infatti, sempre più a che fare con la misura, l’acquisizione dei dati e la loro interpretazione.</w:t>
                  </w:r>
                </w:p>
                <w:p w:rsidR="00267467" w:rsidRDefault="00267467" w:rsidP="004B37BC">
                  <w:pPr>
                    <w:pStyle w:val="Normale1"/>
                    <w:tabs>
                      <w:tab w:val="left" w:pos="7230"/>
                    </w:tabs>
                    <w:spacing w:after="100"/>
                    <w:jc w:val="both"/>
                  </w:pPr>
                </w:p>
              </w:tc>
            </w:tr>
          </w:tbl>
          <w:p w:rsidR="00CD43F0" w:rsidRDefault="00CD43F0">
            <w:pPr>
              <w:pStyle w:val="Normale1"/>
              <w:tabs>
                <w:tab w:val="left" w:pos="7230"/>
              </w:tabs>
              <w:spacing w:after="120"/>
              <w:jc w:val="both"/>
            </w:pPr>
          </w:p>
        </w:tc>
      </w:tr>
    </w:tbl>
    <w:tbl>
      <w:tblPr>
        <w:tblStyle w:val="a7"/>
        <w:tblW w:w="14992" w:type="dxa"/>
        <w:jc w:val="center"/>
        <w:tblInd w:w="0" w:type="dxa"/>
        <w:tblBorders>
          <w:top w:val="single" w:sz="12" w:space="0" w:color="4F6228"/>
          <w:left w:val="single" w:sz="12" w:space="0" w:color="4F6228"/>
          <w:bottom w:val="single" w:sz="12" w:space="0" w:color="4F6228"/>
          <w:right w:val="single" w:sz="12" w:space="0" w:color="4F6228"/>
          <w:insideH w:val="single" w:sz="12" w:space="0" w:color="4F6228"/>
          <w:insideV w:val="single" w:sz="12" w:space="0" w:color="4F6228"/>
        </w:tblBorders>
        <w:tblLayout w:type="fixed"/>
        <w:tblLook w:val="0400"/>
      </w:tblPr>
      <w:tblGrid>
        <w:gridCol w:w="14992"/>
      </w:tblGrid>
      <w:tr w:rsidR="00CD43F0" w:rsidTr="00267467">
        <w:trPr>
          <w:jc w:val="center"/>
        </w:trPr>
        <w:tc>
          <w:tcPr>
            <w:tcW w:w="14992" w:type="dxa"/>
            <w:shd w:val="clear" w:color="auto" w:fill="D7E3BC"/>
          </w:tcPr>
          <w:p w:rsidR="00CD43F0" w:rsidRDefault="00BB40D7">
            <w:pPr>
              <w:pStyle w:val="Normale1"/>
              <w:tabs>
                <w:tab w:val="left" w:pos="7230"/>
              </w:tabs>
              <w:spacing w:after="120"/>
              <w:jc w:val="both"/>
            </w:pPr>
            <w:r>
              <w:rPr>
                <w:b/>
                <w:color w:val="4F6228"/>
                <w:sz w:val="24"/>
                <w:szCs w:val="24"/>
              </w:rPr>
              <w:lastRenderedPageBreak/>
              <w:t xml:space="preserve">Concreta capacità di favorire il rapporto con il mondo del lavoro e contrastare fenomeni di dispersione scolastica, chiarendo le attività progettuali e didattiche che si intendono attivare per raggiungere gli obiettivi, nonché il ruolo degli studenti (articolo 4, comma 2, lett. </w:t>
            </w:r>
            <w:r>
              <w:rPr>
                <w:b/>
                <w:i/>
                <w:color w:val="4F6228"/>
                <w:sz w:val="24"/>
                <w:szCs w:val="24"/>
              </w:rPr>
              <w:t>e</w:t>
            </w:r>
            <w:r>
              <w:rPr>
                <w:b/>
                <w:color w:val="4F6228"/>
                <w:sz w:val="24"/>
                <w:szCs w:val="24"/>
              </w:rPr>
              <w:t>), max 15 punti.</w:t>
            </w:r>
          </w:p>
          <w:tbl>
            <w:tblPr>
              <w:tblStyle w:val="a6"/>
              <w:tblW w:w="14761" w:type="dxa"/>
              <w:tblInd w:w="0" w:type="dxa"/>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ayout w:type="fixed"/>
              <w:tblLook w:val="0400"/>
            </w:tblPr>
            <w:tblGrid>
              <w:gridCol w:w="14761"/>
            </w:tblGrid>
            <w:tr w:rsidR="00CD43F0">
              <w:tc>
                <w:tcPr>
                  <w:tcW w:w="14761" w:type="dxa"/>
                </w:tcPr>
                <w:p w:rsidR="00CD43F0" w:rsidRDefault="00BB40D7">
                  <w:pPr>
                    <w:pStyle w:val="Normale1"/>
                    <w:tabs>
                      <w:tab w:val="left" w:pos="7230"/>
                    </w:tabs>
                    <w:spacing w:after="120"/>
                    <w:jc w:val="both"/>
                  </w:pPr>
                  <w:r>
                    <w:rPr>
                      <w:b/>
                      <w:color w:val="4F6228"/>
                      <w:sz w:val="24"/>
                      <w:szCs w:val="24"/>
                    </w:rPr>
                    <w:t xml:space="preserve">Attività progettuali e didattiche che si intendono attivare: </w:t>
                  </w:r>
                </w:p>
                <w:p w:rsidR="00CD43F0" w:rsidRDefault="00BB40D7">
                  <w:pPr>
                    <w:pStyle w:val="Normale1"/>
                    <w:numPr>
                      <w:ilvl w:val="0"/>
                      <w:numId w:val="7"/>
                    </w:numPr>
                    <w:tabs>
                      <w:tab w:val="left" w:pos="7230"/>
                    </w:tabs>
                    <w:spacing w:after="120"/>
                    <w:ind w:hanging="360"/>
                    <w:contextualSpacing/>
                    <w:jc w:val="both"/>
                    <w:rPr>
                      <w:sz w:val="24"/>
                      <w:szCs w:val="24"/>
                    </w:rPr>
                  </w:pPr>
                  <w:r>
                    <w:rPr>
                      <w:sz w:val="24"/>
                      <w:szCs w:val="24"/>
                    </w:rPr>
                    <w:t>Ricerca sulle interazioni fra uomini e macchine e fra uomini e robot con lo scopo di trasferire i risultati nelle filiere produttive: quando i ragazzi termineranno il proprio percorso di studi ed entreranno nel mondo del lavoro, la collaborazione con il laboratorio continuerà grazie alla rete di conoscenze e di apprendimento cooperativo instauratasi fra scuole, imprese e singoli studenti.</w:t>
                  </w:r>
                </w:p>
                <w:p w:rsidR="00CD43F0" w:rsidRDefault="00BB40D7">
                  <w:pPr>
                    <w:pStyle w:val="Normale1"/>
                    <w:numPr>
                      <w:ilvl w:val="0"/>
                      <w:numId w:val="7"/>
                    </w:numPr>
                    <w:tabs>
                      <w:tab w:val="left" w:pos="7230"/>
                    </w:tabs>
                    <w:spacing w:after="120"/>
                    <w:ind w:hanging="360"/>
                    <w:contextualSpacing/>
                    <w:jc w:val="both"/>
                    <w:rPr>
                      <w:sz w:val="24"/>
                      <w:szCs w:val="24"/>
                    </w:rPr>
                  </w:pPr>
                  <w:r>
                    <w:rPr>
                      <w:sz w:val="24"/>
                      <w:szCs w:val="24"/>
                    </w:rPr>
                    <w:t>Workshop pratici di approfondimento gestiti sia da esperti aziendali che da gruppi di ragazzi, rivolti sia a studenti delle scuole superiori  sia ai ragazzi delle numerose scuole medie della provincia per la diffusione “peer to peer” della cultura tecnica ed imprenditoriale</w:t>
                  </w:r>
                </w:p>
                <w:p w:rsidR="00CD43F0" w:rsidRDefault="00BB40D7">
                  <w:pPr>
                    <w:pStyle w:val="Normale1"/>
                    <w:numPr>
                      <w:ilvl w:val="0"/>
                      <w:numId w:val="7"/>
                    </w:numPr>
                    <w:tabs>
                      <w:tab w:val="left" w:pos="7230"/>
                    </w:tabs>
                    <w:spacing w:after="120"/>
                    <w:ind w:hanging="360"/>
                    <w:contextualSpacing/>
                    <w:jc w:val="both"/>
                    <w:rPr>
                      <w:sz w:val="24"/>
                      <w:szCs w:val="24"/>
                    </w:rPr>
                  </w:pPr>
                  <w:r>
                    <w:rPr>
                      <w:sz w:val="24"/>
                      <w:szCs w:val="24"/>
                    </w:rPr>
                    <w:t>Presentazioni di vario genere (visite guidate, piccole attività laboratoriali con gruppi classe, gestione del sito internet, grafica pubblicitaria) del lavoro con il duplice scopo di rendere massima la visibilità verso il territorio e di coinvolgerlo nella riprogettazione delle attività.</w:t>
                  </w:r>
                </w:p>
                <w:p w:rsidR="00CD43F0" w:rsidRDefault="00BB40D7">
                  <w:pPr>
                    <w:pStyle w:val="Normale1"/>
                    <w:numPr>
                      <w:ilvl w:val="0"/>
                      <w:numId w:val="7"/>
                    </w:numPr>
                    <w:tabs>
                      <w:tab w:val="left" w:pos="7230"/>
                    </w:tabs>
                    <w:spacing w:after="120"/>
                    <w:ind w:hanging="360"/>
                    <w:contextualSpacing/>
                    <w:jc w:val="both"/>
                    <w:rPr>
                      <w:sz w:val="24"/>
                      <w:szCs w:val="24"/>
                    </w:rPr>
                  </w:pPr>
                  <w:r>
                    <w:rPr>
                      <w:sz w:val="24"/>
                      <w:szCs w:val="24"/>
                    </w:rPr>
                    <w:t>Seminari in presenza e online</w:t>
                  </w:r>
                </w:p>
                <w:p w:rsidR="00CD43F0" w:rsidRDefault="00BB40D7">
                  <w:pPr>
                    <w:pStyle w:val="Normale1"/>
                    <w:numPr>
                      <w:ilvl w:val="0"/>
                      <w:numId w:val="7"/>
                    </w:numPr>
                    <w:tabs>
                      <w:tab w:val="left" w:pos="7230"/>
                    </w:tabs>
                    <w:spacing w:after="120"/>
                    <w:ind w:hanging="360"/>
                    <w:contextualSpacing/>
                    <w:jc w:val="both"/>
                    <w:rPr>
                      <w:sz w:val="24"/>
                      <w:szCs w:val="24"/>
                    </w:rPr>
                  </w:pPr>
                  <w:r>
                    <w:rPr>
                      <w:sz w:val="24"/>
                      <w:szCs w:val="24"/>
                    </w:rPr>
                    <w:t>Eventi di presentazione di nuove tecnologie con possibilità di test delle prestazioni e dei processi.</w:t>
                  </w:r>
                </w:p>
                <w:p w:rsidR="00CD43F0" w:rsidRDefault="00BB40D7">
                  <w:pPr>
                    <w:pStyle w:val="Normale1"/>
                    <w:numPr>
                      <w:ilvl w:val="0"/>
                      <w:numId w:val="7"/>
                    </w:numPr>
                    <w:tabs>
                      <w:tab w:val="left" w:pos="7230"/>
                    </w:tabs>
                    <w:spacing w:after="120"/>
                    <w:ind w:hanging="360"/>
                    <w:contextualSpacing/>
                    <w:jc w:val="both"/>
                    <w:rPr>
                      <w:sz w:val="24"/>
                      <w:szCs w:val="24"/>
                    </w:rPr>
                  </w:pPr>
                  <w:r>
                    <w:rPr>
                      <w:sz w:val="24"/>
                      <w:szCs w:val="24"/>
                    </w:rPr>
                    <w:t>Hackathon come modalità di ingaggio fra aziende e giovani per la ricerca di soluzioni innovative con il coinvolgimento di “innovatori” provenienti dalle imprese partner e dall’Università, accomunati dall’obiettivo di favorire l’innovazione tecnologica e digitale sul territorio.</w:t>
                  </w:r>
                </w:p>
                <w:p w:rsidR="00CD43F0" w:rsidRDefault="00BB40D7">
                  <w:pPr>
                    <w:pStyle w:val="Normale1"/>
                    <w:numPr>
                      <w:ilvl w:val="0"/>
                      <w:numId w:val="7"/>
                    </w:numPr>
                    <w:tabs>
                      <w:tab w:val="left" w:pos="7230"/>
                    </w:tabs>
                    <w:spacing w:after="120"/>
                    <w:ind w:hanging="360"/>
                    <w:contextualSpacing/>
                    <w:jc w:val="both"/>
                    <w:rPr>
                      <w:sz w:val="24"/>
                      <w:szCs w:val="24"/>
                    </w:rPr>
                  </w:pPr>
                  <w:r>
                    <w:rPr>
                      <w:sz w:val="24"/>
                      <w:szCs w:val="24"/>
                    </w:rPr>
                    <w:t>Eventi formativi per lo sviluppo dell’autoimprenditorialità di impresa.</w:t>
                  </w:r>
                </w:p>
                <w:p w:rsidR="00CD43F0" w:rsidRDefault="00BB40D7">
                  <w:pPr>
                    <w:pStyle w:val="Normale1"/>
                    <w:spacing w:after="120"/>
                    <w:jc w:val="both"/>
                  </w:pPr>
                  <w:r>
                    <w:rPr>
                      <w:sz w:val="24"/>
                      <w:szCs w:val="24"/>
                    </w:rPr>
                    <w:t xml:space="preserve">Obiettivo primario è quello di uno spazio aperto in cui i ragazzi (sia in modalità individuale che di gruppo classe), sotto la supervisione di tecnici di laboratorio e/o d’impresa ed alcuni docenti  esperti, possano rapportarsi in condizioni  di role playing, sia con i propri coetanei, che con i rappresentanti aziendali per la soluzione dei problemi reali. </w:t>
                  </w:r>
                </w:p>
                <w:p w:rsidR="00CD43F0" w:rsidRDefault="00BB40D7">
                  <w:pPr>
                    <w:pStyle w:val="Normale1"/>
                    <w:tabs>
                      <w:tab w:val="left" w:pos="7230"/>
                    </w:tabs>
                    <w:spacing w:after="120"/>
                    <w:jc w:val="both"/>
                  </w:pPr>
                  <w:r>
                    <w:rPr>
                      <w:sz w:val="24"/>
                      <w:szCs w:val="24"/>
                    </w:rPr>
                    <w:t xml:space="preserve">Un Laboratorio del fare, ma anche dell’imparare, non solo la tecnologia, ma, attraverso il rapporto con i pari e i problemi sul campo, anche ad affrontare situazioni che richiedono organizzazione di uomini, attrezzature e competenze diverse. Una sfida che richiede una approccio molto diverso ai problemi della nuova industria basato sulla capacità di utilizzare le nuove tecnologie al fine di ridisegnare i sistemi produttivi. </w:t>
                  </w:r>
                </w:p>
                <w:p w:rsidR="00CD43F0" w:rsidRDefault="00BB40D7">
                  <w:pPr>
                    <w:pStyle w:val="Normale1"/>
                    <w:tabs>
                      <w:tab w:val="left" w:pos="7230"/>
                    </w:tabs>
                    <w:spacing w:after="120"/>
                    <w:jc w:val="both"/>
                  </w:pPr>
                  <w:r>
                    <w:rPr>
                      <w:sz w:val="24"/>
                      <w:szCs w:val="24"/>
                    </w:rPr>
                    <w:t xml:space="preserve">L’industria del nostro territorio,  impegnata a sostenere una lotta quotidiana per il miglioramento continuo e per la competizione sui mercati internazionali, chiede sempre di più figure lavorative che siano in grado di avere, nei confronti dei processi produttivi, un approccio basato su project works, attraverso i quali gli studenti imparino facendo (learning by doing) non solo ad usare gli strumenti, ma anche i soprattutto i processi  (metacognitivi e aziendali) che occorre mettere in campo per il raggiungimento di uno scopo produttivo quindi reale. </w:t>
                  </w:r>
                </w:p>
              </w:tc>
            </w:tr>
            <w:tr w:rsidR="00CD43F0">
              <w:tc>
                <w:tcPr>
                  <w:tcW w:w="14761" w:type="dxa"/>
                </w:tcPr>
                <w:p w:rsidR="00CD43F0" w:rsidRDefault="00BB40D7">
                  <w:pPr>
                    <w:pStyle w:val="Normale1"/>
                    <w:tabs>
                      <w:tab w:val="left" w:pos="7230"/>
                    </w:tabs>
                    <w:spacing w:after="120"/>
                    <w:jc w:val="both"/>
                  </w:pPr>
                  <w:r>
                    <w:rPr>
                      <w:b/>
                      <w:color w:val="4F6228"/>
                      <w:sz w:val="24"/>
                      <w:szCs w:val="24"/>
                    </w:rPr>
                    <w:t xml:space="preserve">Descrizione del ruolo degli studenti: </w:t>
                  </w:r>
                </w:p>
                <w:p w:rsidR="00CD43F0" w:rsidRDefault="00BB40D7">
                  <w:pPr>
                    <w:pStyle w:val="Normale1"/>
                    <w:spacing w:after="120"/>
                    <w:jc w:val="both"/>
                  </w:pPr>
                  <w:r>
                    <w:rPr>
                      <w:sz w:val="24"/>
                      <w:szCs w:val="24"/>
                    </w:rPr>
                    <w:t>Gli studenti avranno un ruolo pienamente attivo nella gestione degli spazi, delle attività e delle attrezzature, nonché dei rapporti con le aziende. infatti:</w:t>
                  </w:r>
                </w:p>
                <w:p w:rsidR="00CD43F0" w:rsidRDefault="00BB40D7">
                  <w:pPr>
                    <w:pStyle w:val="Normale1"/>
                    <w:numPr>
                      <w:ilvl w:val="0"/>
                      <w:numId w:val="1"/>
                    </w:numPr>
                    <w:tabs>
                      <w:tab w:val="left" w:pos="7230"/>
                    </w:tabs>
                    <w:spacing w:after="120"/>
                    <w:ind w:hanging="360"/>
                    <w:contextualSpacing/>
                    <w:jc w:val="both"/>
                    <w:rPr>
                      <w:sz w:val="24"/>
                      <w:szCs w:val="24"/>
                    </w:rPr>
                  </w:pPr>
                  <w:r>
                    <w:rPr>
                      <w:sz w:val="24"/>
                      <w:szCs w:val="24"/>
                    </w:rPr>
                    <w:t>Imparano ad utilizzare le nuove tecnologie per realizzare progetti concreti, al limite anche autocostruirsi attrezzature per il laboratorio.</w:t>
                  </w:r>
                </w:p>
                <w:p w:rsidR="00CD43F0" w:rsidRDefault="00BB40D7">
                  <w:pPr>
                    <w:pStyle w:val="Normale1"/>
                    <w:numPr>
                      <w:ilvl w:val="0"/>
                      <w:numId w:val="1"/>
                    </w:numPr>
                    <w:tabs>
                      <w:tab w:val="left" w:pos="7230"/>
                    </w:tabs>
                    <w:spacing w:after="120"/>
                    <w:ind w:hanging="360"/>
                    <w:contextualSpacing/>
                    <w:jc w:val="both"/>
                    <w:rPr>
                      <w:sz w:val="24"/>
                      <w:szCs w:val="24"/>
                    </w:rPr>
                  </w:pPr>
                  <w:r>
                    <w:rPr>
                      <w:sz w:val="24"/>
                      <w:szCs w:val="24"/>
                    </w:rPr>
                    <w:t xml:space="preserve">Aumentano la propria qualifica per svolgere compiti di più alto livello. </w:t>
                  </w:r>
                </w:p>
                <w:p w:rsidR="00CD43F0" w:rsidRDefault="00BB40D7">
                  <w:pPr>
                    <w:pStyle w:val="Normale1"/>
                    <w:numPr>
                      <w:ilvl w:val="0"/>
                      <w:numId w:val="1"/>
                    </w:numPr>
                    <w:tabs>
                      <w:tab w:val="left" w:pos="7230"/>
                    </w:tabs>
                    <w:spacing w:after="120"/>
                    <w:ind w:hanging="360"/>
                    <w:contextualSpacing/>
                    <w:jc w:val="both"/>
                    <w:rPr>
                      <w:sz w:val="24"/>
                      <w:szCs w:val="24"/>
                    </w:rPr>
                  </w:pPr>
                  <w:r>
                    <w:rPr>
                      <w:sz w:val="24"/>
                      <w:szCs w:val="24"/>
                    </w:rPr>
                    <w:lastRenderedPageBreak/>
                    <w:t>Insegnano alle imprese medio piccole (la maggioranza nel tessuto produttivo del territorio), che non possono sopportare ancora il peso economico di una trasformazione 4.0, ad utilizzare le nuove tecnologie e la rete per migliorare la propria produttività e competitività sui mercati.</w:t>
                  </w:r>
                </w:p>
                <w:p w:rsidR="00CD43F0" w:rsidRDefault="00BB40D7">
                  <w:pPr>
                    <w:pStyle w:val="Normale1"/>
                    <w:numPr>
                      <w:ilvl w:val="0"/>
                      <w:numId w:val="1"/>
                    </w:numPr>
                    <w:tabs>
                      <w:tab w:val="left" w:pos="7230"/>
                    </w:tabs>
                    <w:spacing w:after="120"/>
                    <w:ind w:hanging="360"/>
                    <w:contextualSpacing/>
                    <w:jc w:val="both"/>
                    <w:rPr>
                      <w:sz w:val="24"/>
                      <w:szCs w:val="24"/>
                    </w:rPr>
                  </w:pPr>
                  <w:r>
                    <w:rPr>
                      <w:sz w:val="24"/>
                      <w:szCs w:val="24"/>
                    </w:rPr>
                    <w:t xml:space="preserve">Imparano le condivisione delle informazioni, sia nei processi di laboratorio che nella rete (delle scuole e internet) come strumento per la crescita personale e di sistema impresa. </w:t>
                  </w:r>
                </w:p>
                <w:p w:rsidR="00CD43F0" w:rsidRDefault="00BB40D7">
                  <w:pPr>
                    <w:pStyle w:val="Normale1"/>
                    <w:numPr>
                      <w:ilvl w:val="0"/>
                      <w:numId w:val="1"/>
                    </w:numPr>
                    <w:tabs>
                      <w:tab w:val="left" w:pos="7230"/>
                    </w:tabs>
                    <w:spacing w:after="120"/>
                    <w:ind w:hanging="360"/>
                    <w:contextualSpacing/>
                    <w:jc w:val="both"/>
                    <w:rPr>
                      <w:sz w:val="24"/>
                      <w:szCs w:val="24"/>
                    </w:rPr>
                  </w:pPr>
                  <w:r>
                    <w:rPr>
                      <w:sz w:val="24"/>
                      <w:szCs w:val="24"/>
                    </w:rPr>
                    <w:t xml:space="preserve">Costituiscono, insieme alle imprese, un volano per la riorganizzazione della manifattura reggiana mettendo a disposizione quelle strutture e competenze intermedie che permettono la crescita degli standard produttivi delle nostre aziende in tempi rapidi, intervenendo soprattutto in quelle realtà dove ancora mancano queste informazioni. </w:t>
                  </w:r>
                </w:p>
                <w:p w:rsidR="00CD43F0" w:rsidRDefault="00BB40D7">
                  <w:pPr>
                    <w:pStyle w:val="Normale1"/>
                    <w:numPr>
                      <w:ilvl w:val="0"/>
                      <w:numId w:val="1"/>
                    </w:numPr>
                    <w:tabs>
                      <w:tab w:val="left" w:pos="7230"/>
                    </w:tabs>
                    <w:spacing w:after="120"/>
                    <w:ind w:hanging="360"/>
                    <w:contextualSpacing/>
                    <w:jc w:val="both"/>
                    <w:rPr>
                      <w:sz w:val="24"/>
                      <w:szCs w:val="24"/>
                    </w:rPr>
                  </w:pPr>
                  <w:r>
                    <w:rPr>
                      <w:sz w:val="24"/>
                      <w:szCs w:val="24"/>
                    </w:rPr>
                    <w:t xml:space="preserve">Diffondono quindi le esperienze maturate attraverso produzione di corsi on line (MOOC), tutorial on line, attività di peering con i ragazzi delle scuole medie inferiori per la sensibilizzazione verso cultura tecnica ed imprenditoriale manifatturiera. </w:t>
                  </w:r>
                </w:p>
              </w:tc>
            </w:tr>
          </w:tbl>
          <w:p w:rsidR="00CD43F0" w:rsidRDefault="00CD43F0">
            <w:pPr>
              <w:pStyle w:val="Normale1"/>
              <w:tabs>
                <w:tab w:val="left" w:pos="7230"/>
              </w:tabs>
              <w:spacing w:after="120"/>
              <w:jc w:val="both"/>
            </w:pPr>
          </w:p>
        </w:tc>
      </w:tr>
    </w:tbl>
    <w:p w:rsidR="00CD43F0" w:rsidRDefault="00CD43F0">
      <w:pPr>
        <w:pStyle w:val="Normale1"/>
        <w:tabs>
          <w:tab w:val="left" w:pos="7230"/>
        </w:tabs>
        <w:spacing w:after="120"/>
        <w:jc w:val="both"/>
      </w:pPr>
    </w:p>
    <w:tbl>
      <w:tblPr>
        <w:tblStyle w:val="a9"/>
        <w:tblW w:w="14992" w:type="dxa"/>
        <w:jc w:val="center"/>
        <w:tblInd w:w="0" w:type="dxa"/>
        <w:tblBorders>
          <w:top w:val="single" w:sz="12" w:space="0" w:color="4F6228"/>
          <w:left w:val="single" w:sz="12" w:space="0" w:color="4F6228"/>
          <w:bottom w:val="single" w:sz="12" w:space="0" w:color="4F6228"/>
          <w:right w:val="single" w:sz="12" w:space="0" w:color="4F6228"/>
          <w:insideH w:val="single" w:sz="12" w:space="0" w:color="4F6228"/>
          <w:insideV w:val="single" w:sz="12" w:space="0" w:color="4F6228"/>
        </w:tblBorders>
        <w:tblLayout w:type="fixed"/>
        <w:tblLook w:val="0400"/>
      </w:tblPr>
      <w:tblGrid>
        <w:gridCol w:w="14992"/>
      </w:tblGrid>
      <w:tr w:rsidR="00CD43F0" w:rsidTr="00267467">
        <w:trPr>
          <w:jc w:val="center"/>
        </w:trPr>
        <w:tc>
          <w:tcPr>
            <w:tcW w:w="14992" w:type="dxa"/>
            <w:shd w:val="clear" w:color="auto" w:fill="D7E3BC"/>
          </w:tcPr>
          <w:p w:rsidR="00CD43F0" w:rsidRDefault="00BB40D7">
            <w:pPr>
              <w:pStyle w:val="Normale1"/>
              <w:tabs>
                <w:tab w:val="left" w:pos="7230"/>
              </w:tabs>
              <w:spacing w:after="120"/>
              <w:jc w:val="both"/>
            </w:pPr>
            <w:r>
              <w:rPr>
                <w:b/>
                <w:color w:val="4F6228"/>
                <w:sz w:val="24"/>
                <w:szCs w:val="24"/>
              </w:rPr>
              <w:t xml:space="preserve">Livello di innovatività dei laboratori, specificando (articolo 4, comma 2, lett. </w:t>
            </w:r>
            <w:r>
              <w:rPr>
                <w:b/>
                <w:i/>
                <w:color w:val="4F6228"/>
                <w:sz w:val="24"/>
                <w:szCs w:val="24"/>
              </w:rPr>
              <w:t>f</w:t>
            </w:r>
            <w:r>
              <w:rPr>
                <w:b/>
                <w:color w:val="4F6228"/>
                <w:sz w:val="24"/>
                <w:szCs w:val="24"/>
              </w:rPr>
              <w:t>), max 15 punti):</w:t>
            </w:r>
          </w:p>
          <w:tbl>
            <w:tblPr>
              <w:tblStyle w:val="a8"/>
              <w:tblW w:w="14454" w:type="dxa"/>
              <w:tblInd w:w="0" w:type="dxa"/>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ayout w:type="fixed"/>
              <w:tblLook w:val="0400"/>
            </w:tblPr>
            <w:tblGrid>
              <w:gridCol w:w="14454"/>
            </w:tblGrid>
            <w:tr w:rsidR="00CD43F0">
              <w:tc>
                <w:tcPr>
                  <w:tcW w:w="14454" w:type="dxa"/>
                </w:tcPr>
                <w:p w:rsidR="00CD43F0" w:rsidRDefault="00BB40D7">
                  <w:pPr>
                    <w:pStyle w:val="Normale1"/>
                    <w:tabs>
                      <w:tab w:val="left" w:pos="7230"/>
                    </w:tabs>
                    <w:spacing w:after="120"/>
                    <w:jc w:val="both"/>
                  </w:pPr>
                  <w:r>
                    <w:rPr>
                      <w:b/>
                      <w:color w:val="4F6228"/>
                      <w:sz w:val="24"/>
                      <w:szCs w:val="24"/>
                    </w:rPr>
                    <w:t xml:space="preserve">le modalità didattiche innovative: </w:t>
                  </w:r>
                </w:p>
                <w:p w:rsidR="00CD43F0" w:rsidRDefault="00BB40D7">
                  <w:pPr>
                    <w:pStyle w:val="Normale1"/>
                    <w:tabs>
                      <w:tab w:val="left" w:pos="7230"/>
                    </w:tabs>
                    <w:spacing w:after="120"/>
                    <w:jc w:val="both"/>
                  </w:pPr>
                  <w:r>
                    <w:rPr>
                      <w:sz w:val="24"/>
                      <w:szCs w:val="24"/>
                    </w:rPr>
                    <w:t xml:space="preserve">Gli scenari culturali prodotti dallo sviluppo e dalla diffusione dei nuovi media pervadono la quotidianità dei giovani e impongono alla scuola un ripensamento della didattica. Abbiamo quindi ritenuto opportuno ispirarci ad un approccio basato sul </w:t>
                  </w:r>
                  <w:r>
                    <w:rPr>
                      <w:i/>
                      <w:sz w:val="24"/>
                      <w:szCs w:val="24"/>
                    </w:rPr>
                    <w:t>cooperative learning,</w:t>
                  </w:r>
                  <w:r>
                    <w:rPr>
                      <w:sz w:val="24"/>
                      <w:szCs w:val="24"/>
                    </w:rPr>
                    <w:t xml:space="preserve"> sulla </w:t>
                  </w:r>
                  <w:r>
                    <w:rPr>
                      <w:i/>
                      <w:sz w:val="24"/>
                      <w:szCs w:val="24"/>
                    </w:rPr>
                    <w:t>flipped classroom</w:t>
                  </w:r>
                  <w:r>
                    <w:rPr>
                      <w:sz w:val="24"/>
                      <w:szCs w:val="24"/>
                    </w:rPr>
                    <w:t xml:space="preserve"> e sul </w:t>
                  </w:r>
                  <w:r>
                    <w:rPr>
                      <w:i/>
                      <w:sz w:val="24"/>
                      <w:szCs w:val="24"/>
                    </w:rPr>
                    <w:t>community building</w:t>
                  </w:r>
                  <w:r>
                    <w:rPr>
                      <w:sz w:val="24"/>
                      <w:szCs w:val="24"/>
                    </w:rPr>
                    <w:t xml:space="preserve">. In questo modo il laboratorio diventa il luogo in cui lavorare secondo il metodo del </w:t>
                  </w:r>
                  <w:r>
                    <w:rPr>
                      <w:i/>
                      <w:sz w:val="24"/>
                      <w:szCs w:val="24"/>
                    </w:rPr>
                    <w:t>problem solving</w:t>
                  </w:r>
                  <w:r>
                    <w:rPr>
                      <w:sz w:val="24"/>
                      <w:szCs w:val="24"/>
                    </w:rPr>
                    <w:t xml:space="preserve"> cooperativo per trovare soluzione a problemi, discutere e realizzare con l’aiuto dell’insegnante “</w:t>
                  </w:r>
                  <w:r>
                    <w:rPr>
                      <w:i/>
                      <w:sz w:val="24"/>
                      <w:szCs w:val="24"/>
                    </w:rPr>
                    <w:t>coach</w:t>
                  </w:r>
                  <w:r>
                    <w:rPr>
                      <w:sz w:val="24"/>
                      <w:szCs w:val="24"/>
                    </w:rPr>
                    <w:t xml:space="preserve">” attività di tipo laboratoriale ed esperimenti didattici (reali o virtuali) di attivazione delle conoscenze. Questo modalità didattica, oggi abilitata dalle nuove tecnologie digitali, è fondata sull’apprendere attraverso il fare; essa valorizza i nuovi stili di apprendimento degli studenti, che sono ormai nativi digitali, e consente di personalizzare gli apprendimenti. </w:t>
                  </w:r>
                </w:p>
                <w:p w:rsidR="00CD43F0" w:rsidRDefault="00BB40D7">
                  <w:pPr>
                    <w:pStyle w:val="Normale1"/>
                    <w:tabs>
                      <w:tab w:val="left" w:pos="7230"/>
                    </w:tabs>
                    <w:spacing w:after="120"/>
                    <w:jc w:val="both"/>
                  </w:pPr>
                  <w:r>
                    <w:rPr>
                      <w:sz w:val="24"/>
                      <w:szCs w:val="24"/>
                    </w:rPr>
                    <w:t>Le tecnologie digitali, attraverso l’utilizzo di ambienti web di apprendimento cooperativo permettono di spostare fuori dall’aula in presenza una serie di attività di tipo nozionistico e routinario liberando il tempo dell’insegnante per seguire più direttamente i problemi di apprendimento degli studenti. In questo modo si crea, inoltre, la possibilità di generare all’interno del laboratorio, in particolare attraverso il lavoro di gruppo cooperativo, una nuova metodologia attiva di apprendimento che trasforma la classe in un piccola comunità di ricerca. Tale processo migliora l'apprendimento, produce una comprensione più approfondita, facilita lo sviluppo di abilità cognitive e l'attitudine a lavorare con gli altri; aiuta inoltre gli studenti a costruire la confidenza nelle proprie capacità, preparandoli così ad affrontare il futuro l'ambiente di lavoro.</w:t>
                  </w:r>
                </w:p>
                <w:p w:rsidR="00CD43F0" w:rsidRDefault="00BB40D7">
                  <w:pPr>
                    <w:pStyle w:val="Normale1"/>
                    <w:tabs>
                      <w:tab w:val="left" w:pos="7230"/>
                    </w:tabs>
                    <w:spacing w:after="120"/>
                    <w:jc w:val="both"/>
                  </w:pPr>
                  <w:r>
                    <w:rPr>
                      <w:sz w:val="24"/>
                      <w:szCs w:val="24"/>
                    </w:rPr>
                    <w:t>Un’ulteriore modalità didattica che intenderemmo adottare prende a riferimento  il format degli hackathon. Verranno organizzati una serie di eventi focalizzati su temi specifici promossi dalle imprese partner, in cui si riuniscono i giovani e le imprese per collaborare, analizzare i problemi proposti e trovare così adeguate soluzioni.</w:t>
                  </w:r>
                </w:p>
                <w:p w:rsidR="00CD43F0" w:rsidRDefault="00BB40D7">
                  <w:pPr>
                    <w:pStyle w:val="Normale1"/>
                    <w:tabs>
                      <w:tab w:val="left" w:pos="7230"/>
                    </w:tabs>
                    <w:spacing w:after="120"/>
                    <w:jc w:val="both"/>
                  </w:pPr>
                  <w:r>
                    <w:rPr>
                      <w:sz w:val="24"/>
                      <w:szCs w:val="24"/>
                    </w:rPr>
                    <w:t xml:space="preserve">Per gli studenti non si tratta di una novità: sono nativi digitali. Per loro gli strumenti digitali, </w:t>
                  </w:r>
                  <w:r>
                    <w:rPr>
                      <w:i/>
                      <w:sz w:val="24"/>
                      <w:szCs w:val="24"/>
                    </w:rPr>
                    <w:t>smartphone</w:t>
                  </w:r>
                  <w:r>
                    <w:rPr>
                      <w:sz w:val="24"/>
                      <w:szCs w:val="24"/>
                    </w:rPr>
                    <w:t xml:space="preserve">, </w:t>
                  </w:r>
                  <w:r>
                    <w:rPr>
                      <w:i/>
                      <w:sz w:val="24"/>
                      <w:szCs w:val="24"/>
                    </w:rPr>
                    <w:t>tablet</w:t>
                  </w:r>
                  <w:r>
                    <w:rPr>
                      <w:sz w:val="24"/>
                      <w:szCs w:val="24"/>
                    </w:rPr>
                    <w:t xml:space="preserve">, </w:t>
                  </w:r>
                  <w:r>
                    <w:rPr>
                      <w:i/>
                      <w:sz w:val="24"/>
                      <w:szCs w:val="24"/>
                    </w:rPr>
                    <w:t>consolle</w:t>
                  </w:r>
                  <w:r>
                    <w:rPr>
                      <w:sz w:val="24"/>
                      <w:szCs w:val="24"/>
                    </w:rPr>
                    <w:t xml:space="preserve">  sono strumenti di uso </w:t>
                  </w:r>
                  <w:r>
                    <w:rPr>
                      <w:sz w:val="24"/>
                      <w:szCs w:val="24"/>
                    </w:rPr>
                    <w:lastRenderedPageBreak/>
                    <w:t xml:space="preserve">quotidiano. Se non li possiedono direttamente utilizzano quelli che sono presenti nelle case dei loro amici. Si tratta quindi di valorizzare le competenze di utilizzo delle tecnologie digitali che hanno acquisito nell’informale e nella socializzazione tra pari. Si tratta di trasformare la loro naturale </w:t>
                  </w:r>
                  <w:r>
                    <w:rPr>
                      <w:i/>
                      <w:sz w:val="24"/>
                      <w:szCs w:val="24"/>
                    </w:rPr>
                    <w:t>fluency</w:t>
                  </w:r>
                  <w:r>
                    <w:rPr>
                      <w:sz w:val="24"/>
                      <w:szCs w:val="24"/>
                    </w:rPr>
                    <w:t xml:space="preserve"> tecnologica in uno strumento per veicolare apprendimenti significativi, avendo sempre ben presente che la fatica dell’apprendimento non può essere eliminata dall’utilizzo dei </w:t>
                  </w:r>
                  <w:r>
                    <w:rPr>
                      <w:i/>
                      <w:sz w:val="24"/>
                      <w:szCs w:val="24"/>
                    </w:rPr>
                    <w:t>device</w:t>
                  </w:r>
                  <w:r>
                    <w:rPr>
                      <w:sz w:val="24"/>
                      <w:szCs w:val="24"/>
                    </w:rPr>
                    <w:t xml:space="preserve"> tecnologici. La sfida è quella di declinare le abilità e le competenze tecnologiche di cui sono già portatori, mettendole al servizio della didattica e dell’apprendimento.</w:t>
                  </w:r>
                </w:p>
              </w:tc>
            </w:tr>
            <w:tr w:rsidR="00CD43F0">
              <w:tc>
                <w:tcPr>
                  <w:tcW w:w="14454" w:type="dxa"/>
                </w:tcPr>
                <w:p w:rsidR="00CD43F0" w:rsidRDefault="00BB40D7">
                  <w:pPr>
                    <w:pStyle w:val="Normale1"/>
                    <w:tabs>
                      <w:tab w:val="left" w:pos="7230"/>
                    </w:tabs>
                    <w:spacing w:after="120"/>
                    <w:jc w:val="both"/>
                  </w:pPr>
                  <w:r>
                    <w:rPr>
                      <w:b/>
                      <w:color w:val="4F6228"/>
                      <w:sz w:val="24"/>
                      <w:szCs w:val="24"/>
                    </w:rPr>
                    <w:lastRenderedPageBreak/>
                    <w:t xml:space="preserve">Le tecnologie da utilizzare a supporto della didattica: </w:t>
                  </w:r>
                </w:p>
                <w:p w:rsidR="00CD43F0" w:rsidRDefault="00BB40D7">
                  <w:pPr>
                    <w:pStyle w:val="Normale1"/>
                    <w:tabs>
                      <w:tab w:val="left" w:pos="7230"/>
                    </w:tabs>
                    <w:spacing w:after="120"/>
                    <w:jc w:val="both"/>
                  </w:pPr>
                  <w:r>
                    <w:rPr>
                      <w:sz w:val="24"/>
                      <w:szCs w:val="24"/>
                    </w:rPr>
                    <w:t>Gli spazi e le strumentazioni del laboratorio sono stati pensati per condividere, per facilitare l’incontro tra le persone, per favorire l’apprendimento, l’ideazione e la creazione di progetti:</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 xml:space="preserve">Tecnologie informatiche e di rete per la contaminazione delle competenze, come: accesso alla rete a banda larga, server centrale di storage per la condivisione delle ricerche. </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Sito web per la promozione delle attività del laboratorio come suesposto e la pubblicazione dei progetti attraverso la produzione di MOOC (Massive Open Online Course)  e webinar volti alla diffusione delle competenze digitali.</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Schede di prototipazione rapida come Arduino e Raspberry equipaggiate con sensori e attuatori per lo sviluppo di applicazioni IoT e per lo sviluppo del pensiero computazionale.</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Strumenti per la sintesi 3D e l’acquisizione digitale tridimensionale rientranti nel progetto di produzione e ricerca sulla realtà aumentata, quale strumento a supporto dello sviluppo di competenze progettuali (CAD/CAM 3D)  e modellistica avanzata.</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 xml:space="preserve">Piattaforme Cloud per lo studio e lo sviluppo di reti neurali, data analysis e cloud computing per lo sviluppo di competenze di logica computazionale e calcolo numerico. </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Robot e bracci antropomorfi per lo studio  delle tecniche di programmazione usate nei sistemi “intelligenti” e per il coinvolgimento degli studenti verso il mondo della robotica e dell’automazione.</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Banchi di prova digitali per la verifica qualitativa, lo studio e la realizzazione di sistemi di Predictive Maintenance (manutenzione predittiva).</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Sensori BCI (Brain Controlled Interface), Leap Motion e altri.. Per la realizzazione e lo studio dell’HMI (Human Interface)</w:t>
                  </w:r>
                </w:p>
                <w:p w:rsidR="00CD43F0" w:rsidRDefault="00BB40D7">
                  <w:pPr>
                    <w:pStyle w:val="Normale1"/>
                    <w:numPr>
                      <w:ilvl w:val="0"/>
                      <w:numId w:val="2"/>
                    </w:numPr>
                    <w:tabs>
                      <w:tab w:val="left" w:pos="7230"/>
                    </w:tabs>
                    <w:spacing w:after="120"/>
                    <w:ind w:hanging="360"/>
                    <w:contextualSpacing/>
                    <w:jc w:val="both"/>
                    <w:rPr>
                      <w:sz w:val="24"/>
                      <w:szCs w:val="24"/>
                    </w:rPr>
                  </w:pPr>
                  <w:r>
                    <w:rPr>
                      <w:sz w:val="24"/>
                      <w:szCs w:val="24"/>
                    </w:rPr>
                    <w:t>PLC, BUS e software per lo studio dei sistemi di automazione aziendale.</w:t>
                  </w:r>
                </w:p>
              </w:tc>
            </w:tr>
          </w:tbl>
          <w:p w:rsidR="00CD43F0" w:rsidRDefault="00CD43F0">
            <w:pPr>
              <w:pStyle w:val="Normale1"/>
              <w:tabs>
                <w:tab w:val="left" w:pos="7230"/>
              </w:tabs>
              <w:spacing w:after="120"/>
              <w:jc w:val="both"/>
            </w:pPr>
          </w:p>
        </w:tc>
      </w:tr>
    </w:tbl>
    <w:p w:rsidR="00267467" w:rsidRDefault="00267467">
      <w:pPr>
        <w:pStyle w:val="Normale1"/>
        <w:tabs>
          <w:tab w:val="left" w:pos="7230"/>
        </w:tabs>
        <w:spacing w:after="120"/>
        <w:jc w:val="both"/>
      </w:pPr>
    </w:p>
    <w:p w:rsidR="00267467" w:rsidRDefault="00267467">
      <w:r>
        <w:br w:type="page"/>
      </w:r>
    </w:p>
    <w:tbl>
      <w:tblPr>
        <w:tblStyle w:val="ab"/>
        <w:tblW w:w="15307" w:type="dxa"/>
        <w:jc w:val="center"/>
        <w:tblInd w:w="0" w:type="dxa"/>
        <w:tblBorders>
          <w:top w:val="single" w:sz="12" w:space="0" w:color="4F6228"/>
          <w:left w:val="single" w:sz="12" w:space="0" w:color="4F6228"/>
          <w:bottom w:val="single" w:sz="12" w:space="0" w:color="4F6228"/>
          <w:right w:val="single" w:sz="12" w:space="0" w:color="4F6228"/>
          <w:insideH w:val="single" w:sz="12" w:space="0" w:color="4F6228"/>
          <w:insideV w:val="single" w:sz="12" w:space="0" w:color="4F6228"/>
        </w:tblBorders>
        <w:tblLayout w:type="fixed"/>
        <w:tblLook w:val="0400"/>
      </w:tblPr>
      <w:tblGrid>
        <w:gridCol w:w="2115"/>
        <w:gridCol w:w="4545"/>
        <w:gridCol w:w="4815"/>
        <w:gridCol w:w="3832"/>
      </w:tblGrid>
      <w:tr w:rsidR="00CD43F0" w:rsidTr="00267467">
        <w:trPr>
          <w:jc w:val="center"/>
        </w:trPr>
        <w:tc>
          <w:tcPr>
            <w:tcW w:w="15307" w:type="dxa"/>
            <w:gridSpan w:val="4"/>
            <w:shd w:val="clear" w:color="auto" w:fill="D7E3BC"/>
          </w:tcPr>
          <w:p w:rsidR="00CD43F0" w:rsidRDefault="00BB40D7">
            <w:pPr>
              <w:pStyle w:val="Normale1"/>
              <w:tabs>
                <w:tab w:val="left" w:pos="7230"/>
              </w:tabs>
              <w:spacing w:after="120"/>
              <w:jc w:val="both"/>
            </w:pPr>
            <w:r>
              <w:rPr>
                <w:b/>
                <w:color w:val="4F6228"/>
                <w:sz w:val="24"/>
                <w:szCs w:val="24"/>
              </w:rPr>
              <w:lastRenderedPageBreak/>
              <w:t xml:space="preserve">Concreta fattibilità economica e finanziaria del progetto, anche in termini di utilizzo del contributo statale e delle eventuali quote di cofinanziamento e della sostenibilità dello stesso (articolo 4, comma 2, lett. </w:t>
            </w:r>
            <w:r>
              <w:rPr>
                <w:b/>
                <w:i/>
                <w:color w:val="4F6228"/>
                <w:sz w:val="24"/>
                <w:szCs w:val="24"/>
              </w:rPr>
              <w:t>g</w:t>
            </w:r>
            <w:r>
              <w:rPr>
                <w:b/>
                <w:color w:val="4F6228"/>
                <w:sz w:val="24"/>
                <w:szCs w:val="24"/>
              </w:rPr>
              <w:t xml:space="preserve">), massimo 15 punti): </w:t>
            </w:r>
          </w:p>
          <w:tbl>
            <w:tblPr>
              <w:tblStyle w:val="aa"/>
              <w:tblW w:w="15096" w:type="dxa"/>
              <w:tblInd w:w="0" w:type="dxa"/>
              <w:tblLayout w:type="fixed"/>
              <w:tblLook w:val="0400"/>
            </w:tblPr>
            <w:tblGrid>
              <w:gridCol w:w="1550"/>
              <w:gridCol w:w="4687"/>
              <w:gridCol w:w="2482"/>
              <w:gridCol w:w="6377"/>
            </w:tblGrid>
            <w:tr w:rsidR="00CD43F0">
              <w:trPr>
                <w:trHeight w:val="360"/>
              </w:trPr>
              <w:tc>
                <w:tcPr>
                  <w:tcW w:w="1550" w:type="dxa"/>
                  <w:tcBorders>
                    <w:top w:val="single" w:sz="8" w:space="0" w:color="000000"/>
                    <w:left w:val="single" w:sz="8" w:space="0" w:color="000000"/>
                    <w:bottom w:val="single" w:sz="4" w:space="0" w:color="000000"/>
                    <w:right w:val="single" w:sz="4" w:space="0" w:color="000000"/>
                  </w:tcBorders>
                  <w:vAlign w:val="center"/>
                </w:tcPr>
                <w:p w:rsidR="00CD43F0" w:rsidRDefault="00CD43F0">
                  <w:pPr>
                    <w:pStyle w:val="Normale1"/>
                    <w:spacing w:line="240" w:lineRule="auto"/>
                    <w:jc w:val="center"/>
                  </w:pPr>
                </w:p>
              </w:tc>
              <w:tc>
                <w:tcPr>
                  <w:tcW w:w="4687" w:type="dxa"/>
                  <w:tcBorders>
                    <w:top w:val="single" w:sz="8" w:space="0" w:color="000000"/>
                    <w:left w:val="nil"/>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20"/>
                      <w:szCs w:val="20"/>
                    </w:rPr>
                    <w:t>Tipologia di spese ammissibili</w:t>
                  </w:r>
                </w:p>
              </w:tc>
              <w:tc>
                <w:tcPr>
                  <w:tcW w:w="2482"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20"/>
                      <w:szCs w:val="20"/>
                    </w:rPr>
                    <w:t xml:space="preserve"> Spese previste quota MIU</w:t>
                  </w:r>
                  <w:r>
                    <w:rPr>
                      <w:b/>
                      <w:color w:val="4F6228"/>
                      <w:sz w:val="20"/>
                      <w:szCs w:val="20"/>
                    </w:rPr>
                    <w:br/>
                    <w:t xml:space="preserve"> </w:t>
                  </w:r>
                  <w:r>
                    <w:rPr>
                      <w:b/>
                      <w:color w:val="4F6228"/>
                      <w:sz w:val="20"/>
                      <w:szCs w:val="20"/>
                    </w:rPr>
                    <w:br/>
                    <w:t>€)</w:t>
                  </w:r>
                </w:p>
              </w:tc>
              <w:tc>
                <w:tcPr>
                  <w:tcW w:w="6377" w:type="dxa"/>
                  <w:tcBorders>
                    <w:top w:val="single" w:sz="4" w:space="0" w:color="000000"/>
                    <w:left w:val="nil"/>
                    <w:bottom w:val="single" w:sz="4" w:space="0" w:color="000000"/>
                    <w:right w:val="single" w:sz="4" w:space="0" w:color="000000"/>
                  </w:tcBorders>
                </w:tcPr>
                <w:p w:rsidR="00CD43F0" w:rsidRDefault="00BB40D7">
                  <w:pPr>
                    <w:pStyle w:val="Normale1"/>
                    <w:spacing w:line="240" w:lineRule="auto"/>
                    <w:jc w:val="center"/>
                  </w:pPr>
                  <w:r>
                    <w:rPr>
                      <w:b/>
                      <w:color w:val="4F6228"/>
                      <w:sz w:val="20"/>
                      <w:szCs w:val="20"/>
                    </w:rPr>
                    <w:t>Spese previste quale cofinanziamento(€)</w:t>
                  </w:r>
                </w:p>
              </w:tc>
            </w:tr>
            <w:tr w:rsidR="00CD43F0">
              <w:trPr>
                <w:trHeight w:val="540"/>
              </w:trPr>
              <w:tc>
                <w:tcPr>
                  <w:tcW w:w="1550" w:type="dxa"/>
                  <w:tcBorders>
                    <w:top w:val="single" w:sz="4" w:space="0" w:color="000000"/>
                    <w:left w:val="single" w:sz="8" w:space="0" w:color="000000"/>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20"/>
                      <w:szCs w:val="20"/>
                    </w:rPr>
                    <w:t>A</w:t>
                  </w:r>
                </w:p>
              </w:tc>
              <w:tc>
                <w:tcPr>
                  <w:tcW w:w="4687"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ind w:right="957"/>
                  </w:pPr>
                  <w:r>
                    <w:rPr>
                      <w:b/>
                      <w:color w:val="4F6228"/>
                      <w:sz w:val="20"/>
                      <w:szCs w:val="20"/>
                    </w:rPr>
                    <w:t xml:space="preserve">spese generali </w:t>
                  </w:r>
                  <w:r>
                    <w:rPr>
                      <w:b/>
                      <w:color w:val="4F6228"/>
                      <w:sz w:val="20"/>
                      <w:szCs w:val="20"/>
                    </w:rPr>
                    <w:br/>
                    <w:t xml:space="preserve"> tecniche (progettazione, consulenze, formazione del personale ecc.)*</w:t>
                  </w:r>
                </w:p>
              </w:tc>
              <w:tc>
                <w:tcPr>
                  <w:tcW w:w="2482"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40"/>
                      <w:szCs w:val="40"/>
                    </w:rPr>
                    <w:t>€ 40.000</w:t>
                  </w:r>
                </w:p>
              </w:tc>
              <w:tc>
                <w:tcPr>
                  <w:tcW w:w="6377"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40"/>
                      <w:szCs w:val="40"/>
                    </w:rPr>
                    <w:t>€ 50.000</w:t>
                  </w:r>
                  <w:r>
                    <w:rPr>
                      <w:b/>
                      <w:color w:val="4F6228"/>
                      <w:sz w:val="32"/>
                      <w:szCs w:val="32"/>
                      <w:vertAlign w:val="superscript"/>
                    </w:rPr>
                    <w:t xml:space="preserve"> (1)</w:t>
                  </w:r>
                </w:p>
                <w:p w:rsidR="00CD43F0" w:rsidRDefault="00BB40D7">
                  <w:pPr>
                    <w:pStyle w:val="Normale1"/>
                    <w:spacing w:line="240" w:lineRule="auto"/>
                    <w:jc w:val="center"/>
                  </w:pPr>
                  <w:r>
                    <w:rPr>
                      <w:b/>
                      <w:color w:val="4F6228"/>
                      <w:sz w:val="40"/>
                      <w:szCs w:val="40"/>
                    </w:rPr>
                    <w:t xml:space="preserve">€ 10.000 </w:t>
                  </w:r>
                  <w:r>
                    <w:rPr>
                      <w:b/>
                      <w:color w:val="4F6228"/>
                      <w:sz w:val="32"/>
                      <w:szCs w:val="32"/>
                      <w:vertAlign w:val="superscript"/>
                    </w:rPr>
                    <w:t>(2)</w:t>
                  </w:r>
                  <w:r>
                    <w:rPr>
                      <w:b/>
                      <w:color w:val="4F6228"/>
                      <w:sz w:val="40"/>
                      <w:szCs w:val="40"/>
                    </w:rPr>
                    <w:t xml:space="preserve"> </w:t>
                  </w:r>
                </w:p>
              </w:tc>
            </w:tr>
            <w:tr w:rsidR="00CD43F0">
              <w:trPr>
                <w:trHeight w:val="540"/>
              </w:trPr>
              <w:tc>
                <w:tcPr>
                  <w:tcW w:w="1550" w:type="dxa"/>
                  <w:tcBorders>
                    <w:top w:val="single" w:sz="4" w:space="0" w:color="000000"/>
                    <w:left w:val="single" w:sz="8" w:space="0" w:color="000000"/>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20"/>
                      <w:szCs w:val="20"/>
                    </w:rPr>
                    <w:t>B</w:t>
                  </w:r>
                </w:p>
              </w:tc>
              <w:tc>
                <w:tcPr>
                  <w:tcW w:w="4687"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pPr>
                  <w:r>
                    <w:rPr>
                      <w:b/>
                      <w:color w:val="4F6228"/>
                      <w:sz w:val="20"/>
                      <w:szCs w:val="20"/>
                    </w:rPr>
                    <w:t>arredi *</w:t>
                  </w:r>
                </w:p>
              </w:tc>
              <w:tc>
                <w:tcPr>
                  <w:tcW w:w="2482"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40"/>
                      <w:szCs w:val="40"/>
                    </w:rPr>
                    <w:t>€72.500</w:t>
                  </w:r>
                </w:p>
              </w:tc>
              <w:tc>
                <w:tcPr>
                  <w:tcW w:w="6377" w:type="dxa"/>
                  <w:tcBorders>
                    <w:top w:val="single" w:sz="4" w:space="0" w:color="000000"/>
                    <w:left w:val="nil"/>
                    <w:bottom w:val="single" w:sz="4" w:space="0" w:color="000000"/>
                    <w:right w:val="single" w:sz="4" w:space="0" w:color="000000"/>
                  </w:tcBorders>
                  <w:vAlign w:val="center"/>
                </w:tcPr>
                <w:p w:rsidR="00CD43F0" w:rsidRDefault="00CD43F0">
                  <w:pPr>
                    <w:pStyle w:val="Normale1"/>
                    <w:spacing w:line="240" w:lineRule="auto"/>
                    <w:jc w:val="center"/>
                  </w:pPr>
                </w:p>
              </w:tc>
            </w:tr>
            <w:tr w:rsidR="00CD43F0">
              <w:trPr>
                <w:trHeight w:val="540"/>
              </w:trPr>
              <w:tc>
                <w:tcPr>
                  <w:tcW w:w="1550" w:type="dxa"/>
                  <w:tcBorders>
                    <w:top w:val="single" w:sz="4" w:space="0" w:color="000000"/>
                    <w:left w:val="single" w:sz="8" w:space="0" w:color="000000"/>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20"/>
                      <w:szCs w:val="20"/>
                    </w:rPr>
                    <w:t>C</w:t>
                  </w:r>
                </w:p>
              </w:tc>
              <w:tc>
                <w:tcPr>
                  <w:tcW w:w="4687"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pPr>
                  <w:r>
                    <w:rPr>
                      <w:b/>
                      <w:color w:val="4F6228"/>
                      <w:sz w:val="20"/>
                      <w:szCs w:val="20"/>
                    </w:rPr>
                    <w:t>acquisto di beni e attrezzature strumentali;</w:t>
                  </w:r>
                </w:p>
              </w:tc>
              <w:tc>
                <w:tcPr>
                  <w:tcW w:w="2482"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40"/>
                      <w:szCs w:val="40"/>
                    </w:rPr>
                    <w:t>€ 450.000</w:t>
                  </w:r>
                </w:p>
              </w:tc>
              <w:tc>
                <w:tcPr>
                  <w:tcW w:w="6377" w:type="dxa"/>
                  <w:tcBorders>
                    <w:top w:val="single" w:sz="4" w:space="0" w:color="000000"/>
                    <w:left w:val="nil"/>
                    <w:bottom w:val="single" w:sz="4" w:space="0" w:color="000000"/>
                    <w:right w:val="single" w:sz="4" w:space="0" w:color="000000"/>
                  </w:tcBorders>
                  <w:vAlign w:val="center"/>
                </w:tcPr>
                <w:p w:rsidR="00CD43F0" w:rsidRDefault="00CD43F0">
                  <w:pPr>
                    <w:pStyle w:val="Normale1"/>
                    <w:spacing w:line="240" w:lineRule="auto"/>
                    <w:jc w:val="center"/>
                  </w:pPr>
                </w:p>
              </w:tc>
            </w:tr>
            <w:tr w:rsidR="00CD43F0">
              <w:trPr>
                <w:trHeight w:val="540"/>
              </w:trPr>
              <w:tc>
                <w:tcPr>
                  <w:tcW w:w="1550" w:type="dxa"/>
                  <w:tcBorders>
                    <w:top w:val="single" w:sz="4" w:space="0" w:color="000000"/>
                    <w:left w:val="single" w:sz="8" w:space="0" w:color="000000"/>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20"/>
                      <w:szCs w:val="20"/>
                    </w:rPr>
                    <w:t>D</w:t>
                  </w:r>
                </w:p>
              </w:tc>
              <w:tc>
                <w:tcPr>
                  <w:tcW w:w="4687"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pPr>
                  <w:r>
                    <w:rPr>
                      <w:b/>
                      <w:color w:val="4F6228"/>
                      <w:sz w:val="20"/>
                      <w:szCs w:val="20"/>
                    </w:rPr>
                    <w:t>Eventi</w:t>
                  </w:r>
                  <w:r>
                    <w:rPr>
                      <w:b/>
                      <w:color w:val="4F6228"/>
                      <w:sz w:val="20"/>
                      <w:szCs w:val="20"/>
                    </w:rPr>
                    <w:br/>
                    <w:t>e lavori edilizi nella misura massima del 25%</w:t>
                  </w:r>
                </w:p>
              </w:tc>
              <w:tc>
                <w:tcPr>
                  <w:tcW w:w="2482" w:type="dxa"/>
                  <w:tcBorders>
                    <w:top w:val="single" w:sz="4" w:space="0" w:color="000000"/>
                    <w:left w:val="nil"/>
                    <w:bottom w:val="single" w:sz="4" w:space="0" w:color="000000"/>
                    <w:right w:val="single" w:sz="4" w:space="0" w:color="000000"/>
                  </w:tcBorders>
                  <w:vAlign w:val="center"/>
                </w:tcPr>
                <w:p w:rsidR="00CD43F0" w:rsidRDefault="00BB40D7">
                  <w:pPr>
                    <w:pStyle w:val="Normale1"/>
                    <w:spacing w:line="240" w:lineRule="auto"/>
                    <w:jc w:val="center"/>
                  </w:pPr>
                  <w:r>
                    <w:rPr>
                      <w:b/>
                      <w:color w:val="4F6228"/>
                      <w:sz w:val="40"/>
                      <w:szCs w:val="40"/>
                    </w:rPr>
                    <w:t>€ 187.500</w:t>
                  </w:r>
                </w:p>
              </w:tc>
              <w:tc>
                <w:tcPr>
                  <w:tcW w:w="6377" w:type="dxa"/>
                  <w:tcBorders>
                    <w:top w:val="single" w:sz="4" w:space="0" w:color="000000"/>
                    <w:left w:val="nil"/>
                    <w:bottom w:val="single" w:sz="4" w:space="0" w:color="000000"/>
                    <w:right w:val="single" w:sz="4" w:space="0" w:color="000000"/>
                  </w:tcBorders>
                </w:tcPr>
                <w:p w:rsidR="00CD43F0" w:rsidRDefault="00BB40D7">
                  <w:pPr>
                    <w:pStyle w:val="Normale1"/>
                    <w:spacing w:line="240" w:lineRule="auto"/>
                    <w:jc w:val="center"/>
                  </w:pPr>
                  <w:r>
                    <w:rPr>
                      <w:b/>
                      <w:color w:val="4F6228"/>
                      <w:sz w:val="40"/>
                      <w:szCs w:val="40"/>
                    </w:rPr>
                    <w:t xml:space="preserve"> € 350.000 </w:t>
                  </w:r>
                  <w:r>
                    <w:rPr>
                      <w:b/>
                      <w:color w:val="4F6228"/>
                      <w:sz w:val="32"/>
                      <w:szCs w:val="32"/>
                      <w:vertAlign w:val="superscript"/>
                    </w:rPr>
                    <w:t xml:space="preserve"> (3)</w:t>
                  </w:r>
                </w:p>
              </w:tc>
            </w:tr>
            <w:tr w:rsidR="00CD43F0">
              <w:trPr>
                <w:trHeight w:val="540"/>
              </w:trPr>
              <w:tc>
                <w:tcPr>
                  <w:tcW w:w="1550"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CD43F0" w:rsidRDefault="00BB40D7">
                  <w:pPr>
                    <w:pStyle w:val="Normale1"/>
                    <w:spacing w:line="240" w:lineRule="auto"/>
                    <w:jc w:val="center"/>
                  </w:pPr>
                  <w:r>
                    <w:rPr>
                      <w:b/>
                      <w:color w:val="4F6228"/>
                      <w:sz w:val="20"/>
                      <w:szCs w:val="20"/>
                    </w:rPr>
                    <w:t>E</w:t>
                  </w:r>
                </w:p>
              </w:tc>
              <w:tc>
                <w:tcPr>
                  <w:tcW w:w="4687" w:type="dxa"/>
                  <w:tcBorders>
                    <w:top w:val="single" w:sz="4" w:space="0" w:color="000000"/>
                    <w:left w:val="nil"/>
                    <w:bottom w:val="single" w:sz="4" w:space="0" w:color="000000"/>
                    <w:right w:val="single" w:sz="4" w:space="0" w:color="000000"/>
                  </w:tcBorders>
                  <w:shd w:val="clear" w:color="auto" w:fill="FFFF99"/>
                  <w:vAlign w:val="center"/>
                </w:tcPr>
                <w:p w:rsidR="00CD43F0" w:rsidRDefault="00BB40D7">
                  <w:pPr>
                    <w:pStyle w:val="Normale1"/>
                    <w:spacing w:line="240" w:lineRule="auto"/>
                  </w:pPr>
                  <w:r>
                    <w:rPr>
                      <w:b/>
                      <w:color w:val="4F6228"/>
                      <w:sz w:val="20"/>
                      <w:szCs w:val="20"/>
                    </w:rPr>
                    <w:t>Totale costi diretti ammissibili (=A+B+C+D)</w:t>
                  </w:r>
                </w:p>
              </w:tc>
              <w:tc>
                <w:tcPr>
                  <w:tcW w:w="2482" w:type="dxa"/>
                  <w:tcBorders>
                    <w:top w:val="single" w:sz="4" w:space="0" w:color="000000"/>
                    <w:left w:val="nil"/>
                    <w:bottom w:val="single" w:sz="4" w:space="0" w:color="000000"/>
                    <w:right w:val="single" w:sz="4" w:space="0" w:color="000000"/>
                  </w:tcBorders>
                  <w:shd w:val="clear" w:color="auto" w:fill="FFFF99"/>
                  <w:vAlign w:val="center"/>
                </w:tcPr>
                <w:p w:rsidR="00CD43F0" w:rsidRDefault="00BB40D7">
                  <w:pPr>
                    <w:pStyle w:val="Normale1"/>
                    <w:spacing w:line="240" w:lineRule="auto"/>
                    <w:jc w:val="center"/>
                  </w:pPr>
                  <w:r>
                    <w:rPr>
                      <w:b/>
                      <w:color w:val="4F6228"/>
                      <w:sz w:val="40"/>
                      <w:szCs w:val="40"/>
                    </w:rPr>
                    <w:t>€750.000</w:t>
                  </w:r>
                </w:p>
              </w:tc>
              <w:tc>
                <w:tcPr>
                  <w:tcW w:w="6377" w:type="dxa"/>
                  <w:tcBorders>
                    <w:top w:val="single" w:sz="4" w:space="0" w:color="000000"/>
                    <w:left w:val="nil"/>
                    <w:bottom w:val="single" w:sz="4" w:space="0" w:color="000000"/>
                    <w:right w:val="single" w:sz="4" w:space="0" w:color="000000"/>
                  </w:tcBorders>
                  <w:shd w:val="clear" w:color="auto" w:fill="FFFF99"/>
                </w:tcPr>
                <w:p w:rsidR="00CD43F0" w:rsidRDefault="00BB40D7">
                  <w:pPr>
                    <w:pStyle w:val="Normale1"/>
                    <w:spacing w:line="240" w:lineRule="auto"/>
                    <w:jc w:val="center"/>
                  </w:pPr>
                  <w:r>
                    <w:rPr>
                      <w:b/>
                      <w:color w:val="4F6228"/>
                      <w:sz w:val="40"/>
                      <w:szCs w:val="40"/>
                    </w:rPr>
                    <w:t>€ 410.000</w:t>
                  </w:r>
                </w:p>
              </w:tc>
            </w:tr>
          </w:tbl>
          <w:p w:rsidR="00CD43F0" w:rsidRDefault="00BB40D7">
            <w:pPr>
              <w:pStyle w:val="Normale1"/>
              <w:spacing w:after="200"/>
            </w:pPr>
            <w:r>
              <w:rPr>
                <w:b/>
                <w:color w:val="4F6228"/>
                <w:sz w:val="20"/>
                <w:szCs w:val="20"/>
                <w:u w:val="single"/>
              </w:rPr>
              <w:t>*la somma delle voci A e B complessivamente non deve superare il 15%.</w:t>
            </w:r>
          </w:p>
          <w:p w:rsidR="00CD43F0" w:rsidRDefault="00BB40D7">
            <w:pPr>
              <w:pStyle w:val="Normale1"/>
              <w:tabs>
                <w:tab w:val="left" w:pos="7230"/>
              </w:tabs>
              <w:jc w:val="both"/>
            </w:pPr>
            <w:r>
              <w:rPr>
                <w:b/>
                <w:color w:val="366091"/>
                <w:sz w:val="18"/>
                <w:szCs w:val="18"/>
              </w:rPr>
              <w:t>(</w:t>
            </w:r>
            <w:r>
              <w:rPr>
                <w:b/>
                <w:sz w:val="18"/>
                <w:szCs w:val="18"/>
              </w:rPr>
              <w:t>1) Conferimento diretto di liquidità da parte dei partner istituzionali  del progetto</w:t>
            </w:r>
          </w:p>
          <w:p w:rsidR="00CD43F0" w:rsidRDefault="00BB40D7">
            <w:pPr>
              <w:pStyle w:val="Normale1"/>
              <w:tabs>
                <w:tab w:val="left" w:pos="7230"/>
              </w:tabs>
              <w:jc w:val="both"/>
            </w:pPr>
            <w:r>
              <w:rPr>
                <w:b/>
                <w:sz w:val="18"/>
                <w:szCs w:val="18"/>
              </w:rPr>
              <w:t>(2) Conferimento di persone e competenze per attività di progettazione e consulenza da  parte delle aziende partner calcolato sulla base della prestazione oraria di 60€/h</w:t>
            </w:r>
          </w:p>
          <w:p w:rsidR="00CD43F0" w:rsidRDefault="00BB40D7">
            <w:pPr>
              <w:pStyle w:val="Normale1"/>
              <w:tabs>
                <w:tab w:val="left" w:pos="7230"/>
              </w:tabs>
              <w:jc w:val="both"/>
            </w:pPr>
            <w:r>
              <w:rPr>
                <w:b/>
                <w:sz w:val="18"/>
                <w:szCs w:val="18"/>
              </w:rPr>
              <w:t>(3) Valore equivalente al canone di affitto decennale dei locali messi a disposizione dal Comune di Reggio Emilia come proprietario dei locali. La quota di cofinanziamento viene utilizzata in un arco pluriennale per la sostenibilità economica del progetto</w:t>
            </w:r>
          </w:p>
          <w:p w:rsidR="00CD43F0" w:rsidRDefault="00CD43F0">
            <w:pPr>
              <w:pStyle w:val="Normale1"/>
            </w:pPr>
          </w:p>
          <w:p w:rsidR="00CA623F" w:rsidRDefault="00CA623F">
            <w:pPr>
              <w:pStyle w:val="Normale1"/>
            </w:pPr>
          </w:p>
          <w:p w:rsidR="00CA623F" w:rsidRDefault="00CA623F">
            <w:pPr>
              <w:pStyle w:val="Normale1"/>
            </w:pPr>
          </w:p>
          <w:p w:rsidR="00CA623F" w:rsidRDefault="00CA623F">
            <w:pPr>
              <w:pStyle w:val="Normale1"/>
            </w:pPr>
          </w:p>
          <w:p w:rsidR="00CA623F" w:rsidRDefault="00CA623F">
            <w:pPr>
              <w:pStyle w:val="Normale1"/>
            </w:pPr>
          </w:p>
          <w:p w:rsidR="00CA623F" w:rsidRDefault="00CA623F">
            <w:pPr>
              <w:pStyle w:val="Normale1"/>
            </w:pPr>
          </w:p>
          <w:p w:rsidR="00267467" w:rsidRDefault="00267467">
            <w:pPr>
              <w:pStyle w:val="Normale1"/>
            </w:pPr>
          </w:p>
          <w:p w:rsidR="00267467" w:rsidRDefault="00267467">
            <w:pPr>
              <w:pStyle w:val="Normale1"/>
            </w:pPr>
          </w:p>
          <w:p w:rsidR="00CA623F" w:rsidRDefault="00CA623F">
            <w:pPr>
              <w:pStyle w:val="Normale1"/>
            </w:pPr>
          </w:p>
          <w:p w:rsidR="00CD43F0" w:rsidRDefault="00BB40D7">
            <w:pPr>
              <w:pStyle w:val="Normale1"/>
              <w:tabs>
                <w:tab w:val="left" w:pos="7230"/>
              </w:tabs>
              <w:spacing w:after="120"/>
              <w:jc w:val="both"/>
            </w:pPr>
            <w:r>
              <w:rPr>
                <w:b/>
                <w:color w:val="4F6228"/>
                <w:sz w:val="24"/>
                <w:szCs w:val="24"/>
              </w:rPr>
              <w:lastRenderedPageBreak/>
              <w:t xml:space="preserve">Descrizione della sostenibilità del progetto. Specificare le modalità di gestione del laboratorio e la sua sostenibilità nel triennio. In particolare, specificare i costi di gestione e le relative coperture finanziarie. </w:t>
            </w:r>
          </w:p>
          <w:p w:rsidR="00CD43F0" w:rsidRDefault="00BB40D7">
            <w:pPr>
              <w:pStyle w:val="Normale1"/>
              <w:tabs>
                <w:tab w:val="left" w:pos="7230"/>
              </w:tabs>
              <w:spacing w:after="120"/>
              <w:jc w:val="both"/>
            </w:pPr>
            <w:r>
              <w:rPr>
                <w:sz w:val="24"/>
                <w:szCs w:val="24"/>
              </w:rPr>
              <w:t>La sostenibilità nel tempo del laboratorio è garantita dalla partecipazione, a diverso titolo, di scuole, aziende ed istituzioni territoriali.</w:t>
            </w:r>
          </w:p>
          <w:p w:rsidR="00CD43F0" w:rsidRDefault="00BB40D7">
            <w:pPr>
              <w:pStyle w:val="Normale1"/>
              <w:tabs>
                <w:tab w:val="left" w:pos="2460"/>
              </w:tabs>
              <w:spacing w:after="120"/>
              <w:jc w:val="both"/>
            </w:pPr>
            <w:r>
              <w:rPr>
                <w:sz w:val="24"/>
                <w:szCs w:val="24"/>
              </w:rPr>
              <w:t>Le aziende partner sostengono le attività del laboratorio conferendo persone, competenze e risorse tecniche (docenze, testimonianze, affidamento di commesse, ecc.). Le scuole partecipanti e tutti i soggetti coinvolti mettono a disposizione docenti e personale di adeguata formazione e competenza per il raggiungimento degli obiettivi formativi e tecnici</w:t>
            </w:r>
          </w:p>
          <w:p w:rsidR="00CD43F0" w:rsidRDefault="00BB40D7">
            <w:pPr>
              <w:pStyle w:val="Normale1"/>
              <w:tabs>
                <w:tab w:val="left" w:pos="7230"/>
              </w:tabs>
              <w:spacing w:after="120"/>
              <w:jc w:val="both"/>
            </w:pPr>
            <w:r>
              <w:rPr>
                <w:sz w:val="24"/>
                <w:szCs w:val="24"/>
              </w:rPr>
              <w:t>La governance politica e progettuale, nonché la gestione e l’amministrazione del laboratorio, vengono attuati mediante i seguenti organi concordati, fra le scuole partecipanti associate in rete:</w:t>
            </w:r>
          </w:p>
          <w:p w:rsidR="00CD43F0" w:rsidRDefault="00BB40D7">
            <w:pPr>
              <w:pStyle w:val="Normale1"/>
              <w:numPr>
                <w:ilvl w:val="0"/>
                <w:numId w:val="10"/>
              </w:numPr>
              <w:tabs>
                <w:tab w:val="left" w:pos="7230"/>
              </w:tabs>
              <w:spacing w:after="120"/>
              <w:ind w:hanging="360"/>
              <w:contextualSpacing/>
              <w:jc w:val="both"/>
              <w:rPr>
                <w:sz w:val="24"/>
                <w:szCs w:val="24"/>
              </w:rPr>
            </w:pPr>
            <w:r>
              <w:rPr>
                <w:sz w:val="24"/>
                <w:szCs w:val="24"/>
              </w:rPr>
              <w:t>CONSIGLIO DIRETTIVO,composto da dirigenti scolastici delle scuole in rete e un rappresentante di UNINDUSTRIA;</w:t>
            </w:r>
          </w:p>
          <w:p w:rsidR="00CD43F0" w:rsidRDefault="00BB40D7">
            <w:pPr>
              <w:pStyle w:val="Normale1"/>
              <w:numPr>
                <w:ilvl w:val="0"/>
                <w:numId w:val="10"/>
              </w:numPr>
              <w:tabs>
                <w:tab w:val="left" w:pos="7230"/>
              </w:tabs>
              <w:spacing w:after="120"/>
              <w:ind w:hanging="360"/>
              <w:contextualSpacing/>
              <w:jc w:val="both"/>
              <w:rPr>
                <w:sz w:val="24"/>
                <w:szCs w:val="24"/>
              </w:rPr>
            </w:pPr>
            <w:r>
              <w:rPr>
                <w:sz w:val="24"/>
                <w:szCs w:val="24"/>
              </w:rPr>
              <w:t>GIUNTA ECONOMICA, composta dai direttori dei servizi generali amministrativi delle scuole in rete, il dirigente scolastico della scuola capofila e i rappresentanti degli enti locali coinvolti;</w:t>
            </w:r>
          </w:p>
          <w:p w:rsidR="00CD43F0" w:rsidRDefault="00BB40D7">
            <w:pPr>
              <w:pStyle w:val="Normale1"/>
              <w:numPr>
                <w:ilvl w:val="0"/>
                <w:numId w:val="10"/>
              </w:numPr>
              <w:tabs>
                <w:tab w:val="left" w:pos="7230"/>
              </w:tabs>
              <w:spacing w:after="120"/>
              <w:ind w:hanging="360"/>
              <w:contextualSpacing/>
              <w:jc w:val="both"/>
              <w:rPr>
                <w:sz w:val="24"/>
                <w:szCs w:val="24"/>
              </w:rPr>
            </w:pPr>
            <w:r>
              <w:rPr>
                <w:sz w:val="24"/>
                <w:szCs w:val="24"/>
              </w:rPr>
              <w:t>COMITATO TECNICO SCIENTIFICO,composto dai docenti referenti delle scuole in rete, un dirigente scolastico delle scuole della rete, il coordinatore dell’ITS Maker, un rappresentante dell’Università, un rappresentante delle aziende e il direttore del laboratorio.</w:t>
            </w:r>
          </w:p>
          <w:p w:rsidR="00CD43F0" w:rsidRDefault="00BB40D7">
            <w:pPr>
              <w:pStyle w:val="Normale1"/>
              <w:tabs>
                <w:tab w:val="left" w:pos="7230"/>
              </w:tabs>
              <w:spacing w:after="120"/>
              <w:jc w:val="both"/>
            </w:pPr>
            <w:r>
              <w:rPr>
                <w:sz w:val="24"/>
                <w:szCs w:val="24"/>
              </w:rPr>
              <w:t xml:space="preserve">L’attività quotidiana viene garantita mediante la disponibilità di studenti di ingegneria quali animatori del laboratorio ed anche con il contributo del fondo “SOSTEGNO GIOVANI”. </w:t>
            </w:r>
          </w:p>
          <w:p w:rsidR="00CD43F0" w:rsidRDefault="00BB40D7">
            <w:pPr>
              <w:pStyle w:val="Normale1"/>
              <w:tabs>
                <w:tab w:val="left" w:pos="7230"/>
              </w:tabs>
              <w:spacing w:after="120"/>
              <w:jc w:val="both"/>
            </w:pPr>
            <w:r>
              <w:rPr>
                <w:sz w:val="24"/>
                <w:szCs w:val="24"/>
              </w:rPr>
              <w:t>La maggior parte dei servizi ordinari saranno garantiti usufruendo delle attività di alternanza scuola lavoro degli studenti delle scuole della rete secondo le varie competenze presenti. Per quanto non sarà possibile coprire con le competenze degli studenti si ricorrerà ad appalti di servizio che saranno coperti, per i primi tre anni, dai cofinanziamenti previsti.</w:t>
            </w:r>
          </w:p>
          <w:p w:rsidR="00CD43F0" w:rsidRDefault="00BB40D7">
            <w:pPr>
              <w:pStyle w:val="Normale1"/>
              <w:tabs>
                <w:tab w:val="left" w:pos="7230"/>
              </w:tabs>
              <w:spacing w:after="120"/>
              <w:jc w:val="both"/>
            </w:pPr>
            <w:r>
              <w:rPr>
                <w:sz w:val="24"/>
                <w:szCs w:val="24"/>
              </w:rPr>
              <w:t>Le attrezzature e le competenze presenti nel laboratorio vengono messe a disposizione del territorio in orario ante e post meridiano sotto la guida di un direttore di sede che coordina le attività didattiche in collaborazione con le scuole partecipanti e le istituzioni partner. Il direttore, che collabora a titolo gratuito,  proviene dal mondo della scuola e da una pluriennale esperienza organizzativa e di rapporti con le aziende del territorio. Le gestione degli spazi e delle attrezzature saranno supportate da :</w:t>
            </w:r>
          </w:p>
          <w:p w:rsidR="00CD43F0" w:rsidRDefault="00BB40D7">
            <w:pPr>
              <w:pStyle w:val="Normale1"/>
              <w:numPr>
                <w:ilvl w:val="0"/>
                <w:numId w:val="4"/>
              </w:numPr>
              <w:tabs>
                <w:tab w:val="left" w:pos="7230"/>
              </w:tabs>
              <w:ind w:hanging="360"/>
              <w:contextualSpacing/>
              <w:jc w:val="both"/>
              <w:rPr>
                <w:sz w:val="24"/>
                <w:szCs w:val="24"/>
              </w:rPr>
            </w:pPr>
            <w:r>
              <w:rPr>
                <w:sz w:val="24"/>
                <w:szCs w:val="24"/>
              </w:rPr>
              <w:t>applicazioni web mantenute dagli studenti con competenze informatiche e grafiche della rete;</w:t>
            </w:r>
          </w:p>
          <w:p w:rsidR="00CD43F0" w:rsidRDefault="00BB40D7">
            <w:pPr>
              <w:pStyle w:val="Normale1"/>
              <w:numPr>
                <w:ilvl w:val="0"/>
                <w:numId w:val="4"/>
              </w:numPr>
              <w:tabs>
                <w:tab w:val="left" w:pos="7230"/>
              </w:tabs>
              <w:ind w:hanging="360"/>
              <w:contextualSpacing/>
              <w:jc w:val="both"/>
              <w:rPr>
                <w:sz w:val="24"/>
                <w:szCs w:val="24"/>
              </w:rPr>
            </w:pPr>
            <w:r>
              <w:rPr>
                <w:sz w:val="24"/>
                <w:szCs w:val="24"/>
              </w:rPr>
              <w:t>attività di front office curate dagli studenti con competenze di relazione con il pubblico, amministrazione e marketing.</w:t>
            </w:r>
          </w:p>
          <w:p w:rsidR="00CD43F0" w:rsidRDefault="00CD43F0">
            <w:pPr>
              <w:pStyle w:val="Normale1"/>
              <w:tabs>
                <w:tab w:val="left" w:pos="7230"/>
              </w:tabs>
              <w:spacing w:after="120"/>
              <w:jc w:val="both"/>
            </w:pPr>
          </w:p>
          <w:p w:rsidR="00CD43F0" w:rsidRDefault="00BB40D7">
            <w:pPr>
              <w:pStyle w:val="Normale1"/>
              <w:tabs>
                <w:tab w:val="left" w:pos="7230"/>
              </w:tabs>
              <w:spacing w:after="120"/>
              <w:jc w:val="both"/>
            </w:pPr>
            <w:r>
              <w:rPr>
                <w:sz w:val="24"/>
                <w:szCs w:val="24"/>
              </w:rPr>
              <w:t xml:space="preserve">Ulteriori fonti di finanziamento previste: </w:t>
            </w:r>
          </w:p>
          <w:p w:rsidR="00CD43F0" w:rsidRDefault="00BB40D7">
            <w:pPr>
              <w:pStyle w:val="Normale1"/>
              <w:numPr>
                <w:ilvl w:val="0"/>
                <w:numId w:val="5"/>
              </w:numPr>
              <w:tabs>
                <w:tab w:val="left" w:pos="7230"/>
              </w:tabs>
              <w:ind w:hanging="360"/>
              <w:contextualSpacing/>
              <w:jc w:val="both"/>
              <w:rPr>
                <w:sz w:val="24"/>
                <w:szCs w:val="24"/>
              </w:rPr>
            </w:pPr>
            <w:r>
              <w:rPr>
                <w:sz w:val="24"/>
                <w:szCs w:val="24"/>
              </w:rPr>
              <w:t>Crowdfunding presso le aziende del territorio</w:t>
            </w:r>
          </w:p>
          <w:p w:rsidR="00CD43F0" w:rsidRDefault="00BB40D7">
            <w:pPr>
              <w:pStyle w:val="Normale1"/>
              <w:numPr>
                <w:ilvl w:val="0"/>
                <w:numId w:val="5"/>
              </w:numPr>
              <w:tabs>
                <w:tab w:val="left" w:pos="7230"/>
              </w:tabs>
              <w:ind w:hanging="360"/>
              <w:contextualSpacing/>
              <w:jc w:val="both"/>
              <w:rPr>
                <w:sz w:val="24"/>
                <w:szCs w:val="24"/>
              </w:rPr>
            </w:pPr>
            <w:r>
              <w:rPr>
                <w:sz w:val="24"/>
                <w:szCs w:val="24"/>
              </w:rPr>
              <w:t>Partecipazioni a bandi nazionali ed europei</w:t>
            </w:r>
          </w:p>
          <w:p w:rsidR="00CD43F0" w:rsidRDefault="00BB40D7">
            <w:pPr>
              <w:pStyle w:val="Normale1"/>
              <w:numPr>
                <w:ilvl w:val="0"/>
                <w:numId w:val="5"/>
              </w:numPr>
              <w:tabs>
                <w:tab w:val="left" w:pos="7230"/>
              </w:tabs>
              <w:spacing w:after="120"/>
              <w:ind w:hanging="360"/>
              <w:contextualSpacing/>
              <w:jc w:val="both"/>
              <w:rPr>
                <w:sz w:val="24"/>
                <w:szCs w:val="24"/>
              </w:rPr>
            </w:pPr>
            <w:r>
              <w:rPr>
                <w:sz w:val="24"/>
                <w:szCs w:val="24"/>
              </w:rPr>
              <w:t>Attività come dal seguente REVENUE MODEL</w:t>
            </w:r>
          </w:p>
        </w:tc>
      </w:tr>
      <w:tr w:rsidR="00CD43F0" w:rsidTr="00267467">
        <w:trPr>
          <w:jc w:val="center"/>
        </w:trPr>
        <w:tc>
          <w:tcPr>
            <w:tcW w:w="2115" w:type="dxa"/>
            <w:shd w:val="clear" w:color="auto" w:fill="D7E3BC"/>
          </w:tcPr>
          <w:p w:rsidR="00CD43F0" w:rsidRDefault="00BB40D7">
            <w:pPr>
              <w:pStyle w:val="Normale1"/>
            </w:pPr>
            <w:r>
              <w:rPr>
                <w:b/>
              </w:rPr>
              <w:lastRenderedPageBreak/>
              <w:t>Livello di ingaggio</w:t>
            </w:r>
          </w:p>
        </w:tc>
        <w:tc>
          <w:tcPr>
            <w:tcW w:w="4545" w:type="dxa"/>
            <w:shd w:val="clear" w:color="auto" w:fill="D7E3BC"/>
          </w:tcPr>
          <w:p w:rsidR="00CD43F0" w:rsidRDefault="00BB40D7">
            <w:pPr>
              <w:pStyle w:val="Normale1"/>
            </w:pPr>
            <w:r>
              <w:rPr>
                <w:b/>
              </w:rPr>
              <w:t>Impegno delle aziende</w:t>
            </w:r>
          </w:p>
        </w:tc>
        <w:tc>
          <w:tcPr>
            <w:tcW w:w="4815" w:type="dxa"/>
            <w:shd w:val="clear" w:color="auto" w:fill="D7E3BC"/>
          </w:tcPr>
          <w:p w:rsidR="00CD43F0" w:rsidRDefault="00BB40D7">
            <w:pPr>
              <w:pStyle w:val="Normale1"/>
            </w:pPr>
            <w:r>
              <w:rPr>
                <w:b/>
              </w:rPr>
              <w:t xml:space="preserve">Beneficio per le aziende </w:t>
            </w:r>
          </w:p>
        </w:tc>
        <w:tc>
          <w:tcPr>
            <w:tcW w:w="3832" w:type="dxa"/>
            <w:shd w:val="clear" w:color="auto" w:fill="D7E3BC"/>
          </w:tcPr>
          <w:p w:rsidR="00CD43F0" w:rsidRDefault="00BB40D7">
            <w:pPr>
              <w:pStyle w:val="Normale1"/>
            </w:pPr>
            <w:r>
              <w:rPr>
                <w:b/>
              </w:rPr>
              <w:t>Beneficio per il territorio</w:t>
            </w:r>
          </w:p>
        </w:tc>
      </w:tr>
      <w:tr w:rsidR="00CD43F0" w:rsidTr="00267467">
        <w:trPr>
          <w:jc w:val="center"/>
        </w:trPr>
        <w:tc>
          <w:tcPr>
            <w:tcW w:w="2115" w:type="dxa"/>
            <w:shd w:val="clear" w:color="auto" w:fill="D7E3BC"/>
          </w:tcPr>
          <w:p w:rsidR="00CD43F0" w:rsidRDefault="00BB40D7">
            <w:pPr>
              <w:pStyle w:val="Normale1"/>
            </w:pPr>
            <w:r>
              <w:t>1° livello</w:t>
            </w:r>
          </w:p>
        </w:tc>
        <w:tc>
          <w:tcPr>
            <w:tcW w:w="4545" w:type="dxa"/>
            <w:shd w:val="clear" w:color="auto" w:fill="D7E3BC"/>
          </w:tcPr>
          <w:p w:rsidR="00CD43F0" w:rsidRDefault="00BB40D7">
            <w:pPr>
              <w:pStyle w:val="Normale1"/>
            </w:pPr>
            <w:r>
              <w:t>Uno o più partner offrono attrezzature al laboratorio ed un corso base agli studenti (se necessario) per incentivare la ricerca di nuove idee e soluzioni su nuove tecnologie</w:t>
            </w:r>
          </w:p>
        </w:tc>
        <w:tc>
          <w:tcPr>
            <w:tcW w:w="4815" w:type="dxa"/>
            <w:shd w:val="clear" w:color="auto" w:fill="D7E3BC"/>
          </w:tcPr>
          <w:p w:rsidR="00CD43F0" w:rsidRDefault="00BB40D7">
            <w:pPr>
              <w:pStyle w:val="Normale1"/>
            </w:pPr>
            <w:r>
              <w:t>Con una spesa contenuta si incentiva la ricerca su nuovi temi spendibili sul mercato. Le aziende hanno modo di verificare le capacità dei ragazzi sui temi proposti ed identificare risorse umane da integrare nel loro organico.</w:t>
            </w:r>
          </w:p>
          <w:p w:rsidR="00CD43F0" w:rsidRDefault="00CD43F0">
            <w:pPr>
              <w:pStyle w:val="Normale1"/>
              <w:spacing w:after="240"/>
            </w:pPr>
          </w:p>
        </w:tc>
        <w:tc>
          <w:tcPr>
            <w:tcW w:w="3832" w:type="dxa"/>
            <w:shd w:val="clear" w:color="auto" w:fill="D7E3BC"/>
          </w:tcPr>
          <w:p w:rsidR="00CD43F0" w:rsidRDefault="00BB40D7">
            <w:pPr>
              <w:pStyle w:val="Normale1"/>
            </w:pPr>
            <w:r>
              <w:t>I ragazzi si formano con nuove e reali esperienze. Il territorio conosce nuovi ambiti della ricerca che non aveva ancora esplorato. Il territorio può sperimentare nuove tecnologie messe a disposizione del laboratorio.</w:t>
            </w:r>
          </w:p>
        </w:tc>
      </w:tr>
      <w:tr w:rsidR="00CD43F0" w:rsidTr="00267467">
        <w:trPr>
          <w:jc w:val="center"/>
        </w:trPr>
        <w:tc>
          <w:tcPr>
            <w:tcW w:w="2115" w:type="dxa"/>
            <w:shd w:val="clear" w:color="auto" w:fill="D7E3BC"/>
          </w:tcPr>
          <w:p w:rsidR="00CD43F0" w:rsidRDefault="00BB40D7">
            <w:pPr>
              <w:pStyle w:val="Normale1"/>
            </w:pPr>
            <w:r>
              <w:t>2° livello</w:t>
            </w:r>
          </w:p>
        </w:tc>
        <w:tc>
          <w:tcPr>
            <w:tcW w:w="4545" w:type="dxa"/>
            <w:shd w:val="clear" w:color="auto" w:fill="D7E3BC"/>
          </w:tcPr>
          <w:p w:rsidR="00CD43F0" w:rsidRDefault="00BB40D7">
            <w:pPr>
              <w:pStyle w:val="Normale1"/>
            </w:pPr>
            <w:r>
              <w:t>Una volta identificati gruppi di lavoro, scuole, partner attendibili, le aziende o gli altri partner preparano una commessa sulla ricerca di nuove soluzioni e lo sviluppo di applicazioni embrionali.</w:t>
            </w:r>
          </w:p>
        </w:tc>
        <w:tc>
          <w:tcPr>
            <w:tcW w:w="4815" w:type="dxa"/>
            <w:shd w:val="clear" w:color="auto" w:fill="D7E3BC"/>
          </w:tcPr>
          <w:p w:rsidR="00CD43F0" w:rsidRDefault="00BB40D7">
            <w:pPr>
              <w:pStyle w:val="Normale1"/>
            </w:pPr>
            <w:r>
              <w:t>In questa fase è previsto un costo leggermente superiore rispetto alla fase precedente: si richiede un piccolo investimento in denaro che serve in parte a rifinanziare il laboratorio e in parte a ricompensare il gruppo di lavoro per la prestazione svolta. Le aziende stringono rapporti di con gruppi di ricerca esterni. Si consolida il rapporto tra studenti e aziende. Le aziende ottengono personale formato da inserire nel loro organico. Le aziende ottengono veri e propri prototipi relativi all’idea proposta.</w:t>
            </w:r>
          </w:p>
        </w:tc>
        <w:tc>
          <w:tcPr>
            <w:tcW w:w="3832" w:type="dxa"/>
            <w:shd w:val="clear" w:color="auto" w:fill="D7E3BC"/>
          </w:tcPr>
          <w:p w:rsidR="00CD43F0" w:rsidRDefault="00BB40D7">
            <w:pPr>
              <w:pStyle w:val="Normale1"/>
            </w:pPr>
            <w:r>
              <w:t>Validi tutti i punti precedenti. Una volta terminato il progetto le tecnologie, eventualmente aggiunte, restano a disposizione del territorio.</w:t>
            </w:r>
          </w:p>
        </w:tc>
      </w:tr>
      <w:tr w:rsidR="00CD43F0" w:rsidTr="00267467">
        <w:trPr>
          <w:jc w:val="center"/>
        </w:trPr>
        <w:tc>
          <w:tcPr>
            <w:tcW w:w="2115" w:type="dxa"/>
            <w:shd w:val="clear" w:color="auto" w:fill="D7E3BC"/>
          </w:tcPr>
          <w:p w:rsidR="00CD43F0" w:rsidRDefault="00BB40D7">
            <w:pPr>
              <w:pStyle w:val="Normale1"/>
            </w:pPr>
            <w:r>
              <w:t>3° livello</w:t>
            </w:r>
          </w:p>
        </w:tc>
        <w:tc>
          <w:tcPr>
            <w:tcW w:w="4545" w:type="dxa"/>
            <w:shd w:val="clear" w:color="auto" w:fill="D7E3BC"/>
          </w:tcPr>
          <w:p w:rsidR="00CD43F0" w:rsidRDefault="00BB40D7">
            <w:pPr>
              <w:pStyle w:val="Normale1"/>
            </w:pPr>
            <w:r>
              <w:t>Una o più aziende identificano in modo preciso un gruppo di lavoro che può includere, studenti, scuola/e, altre aziende, partner territoriali. Viene messa a punto una vera e propria commessa. L’azienda o il gruppo di aziende forniscono le risorse tecniche ed economiche necessarie per lo sviluppo di un progetto ampio e definito.</w:t>
            </w:r>
          </w:p>
        </w:tc>
        <w:tc>
          <w:tcPr>
            <w:tcW w:w="4815" w:type="dxa"/>
            <w:shd w:val="clear" w:color="auto" w:fill="D7E3BC"/>
          </w:tcPr>
          <w:p w:rsidR="00CD43F0" w:rsidRDefault="00BB40D7">
            <w:pPr>
              <w:pStyle w:val="Normale1"/>
            </w:pPr>
            <w:r>
              <w:t>Le aziende ottengono un risultato concreto e beneficiano delle sinergie in atto con gli studenti, il territorio, le scuole e gli altri partner. Viene sviluppata una soluzione “finita”. Si saldano i rapporti con il territorio, con le scuole, con i partner.</w:t>
            </w:r>
          </w:p>
          <w:p w:rsidR="00CD43F0" w:rsidRDefault="00CD43F0">
            <w:pPr>
              <w:pStyle w:val="Normale1"/>
            </w:pPr>
          </w:p>
        </w:tc>
        <w:tc>
          <w:tcPr>
            <w:tcW w:w="3832" w:type="dxa"/>
            <w:shd w:val="clear" w:color="auto" w:fill="D7E3BC"/>
          </w:tcPr>
          <w:p w:rsidR="00CD43F0" w:rsidRDefault="00BB40D7">
            <w:pPr>
              <w:pStyle w:val="Normale1"/>
            </w:pPr>
            <w:r>
              <w:t>Validi tutti i punti precedenti. Si costituiscono veri e propri gruppi di lavoro e ricerca. Il laboratorio territoriale getta basi solide con cui continuare a svilupparsi.</w:t>
            </w:r>
          </w:p>
        </w:tc>
      </w:tr>
    </w:tbl>
    <w:p w:rsidR="00CA623F" w:rsidRDefault="00CA623F">
      <w:pPr>
        <w:pStyle w:val="Normale1"/>
        <w:tabs>
          <w:tab w:val="left" w:pos="7230"/>
        </w:tabs>
        <w:spacing w:after="120"/>
        <w:jc w:val="both"/>
      </w:pPr>
    </w:p>
    <w:p w:rsidR="00CA623F" w:rsidRDefault="00CA623F">
      <w:r>
        <w:br w:type="page"/>
      </w:r>
    </w:p>
    <w:tbl>
      <w:tblPr>
        <w:tblStyle w:val="ac"/>
        <w:tblW w:w="15327" w:type="dxa"/>
        <w:tblInd w:w="-115" w:type="dxa"/>
        <w:tblBorders>
          <w:top w:val="single" w:sz="12" w:space="0" w:color="4F6228"/>
          <w:left w:val="single" w:sz="12" w:space="0" w:color="4F6228"/>
          <w:bottom w:val="single" w:sz="12" w:space="0" w:color="4F6228"/>
          <w:right w:val="single" w:sz="12" w:space="0" w:color="4F6228"/>
          <w:insideH w:val="single" w:sz="12" w:space="0" w:color="4F6228"/>
          <w:insideV w:val="single" w:sz="12" w:space="0" w:color="4F6228"/>
        </w:tblBorders>
        <w:tblLayout w:type="fixed"/>
        <w:tblLook w:val="0400"/>
      </w:tblPr>
      <w:tblGrid>
        <w:gridCol w:w="15327"/>
      </w:tblGrid>
      <w:tr w:rsidR="00CD43F0">
        <w:tc>
          <w:tcPr>
            <w:tcW w:w="15327" w:type="dxa"/>
            <w:shd w:val="clear" w:color="auto" w:fill="D7E3BC"/>
          </w:tcPr>
          <w:p w:rsidR="00CD43F0" w:rsidRDefault="00BB40D7">
            <w:pPr>
              <w:pStyle w:val="Normale1"/>
              <w:tabs>
                <w:tab w:val="left" w:pos="7230"/>
              </w:tabs>
              <w:spacing w:after="120"/>
              <w:jc w:val="both"/>
            </w:pPr>
            <w:r>
              <w:rPr>
                <w:b/>
                <w:color w:val="4F6228"/>
                <w:sz w:val="24"/>
                <w:szCs w:val="24"/>
              </w:rPr>
              <w:lastRenderedPageBreak/>
              <w:t xml:space="preserve">Cronoprogramma e tempistica di realizzazione dei laboratori (articolo 4, comma 2, lett. </w:t>
            </w:r>
            <w:r>
              <w:rPr>
                <w:b/>
                <w:i/>
                <w:color w:val="4F6228"/>
                <w:sz w:val="24"/>
                <w:szCs w:val="24"/>
              </w:rPr>
              <w:t>h</w:t>
            </w:r>
            <w:r>
              <w:rPr>
                <w:b/>
                <w:color w:val="4F6228"/>
                <w:sz w:val="24"/>
                <w:szCs w:val="24"/>
              </w:rPr>
              <w:t xml:space="preserve">), max 5 punti): </w:t>
            </w:r>
          </w:p>
          <w:p w:rsidR="00CD43F0" w:rsidRDefault="00BB40D7">
            <w:pPr>
              <w:pStyle w:val="Normale1"/>
              <w:tabs>
                <w:tab w:val="left" w:pos="7230"/>
              </w:tabs>
              <w:spacing w:after="120"/>
              <w:jc w:val="both"/>
            </w:pPr>
            <w:r>
              <w:rPr>
                <w:sz w:val="24"/>
                <w:szCs w:val="24"/>
              </w:rPr>
              <w:t>In caso di disponibilità del finanziamento per il giorno 01/09/2016, tenendo conto delle norme che presiedono alla attività negoziale con particolare riferimento alle procedure della P.A. (riferimento ai PON), la rete di scuole ipotizza il seguente cronoprogramma, suscettibile di variazione sulla base dell’effettiva data di accesso alle risorse:</w:t>
            </w:r>
          </w:p>
          <w:p w:rsidR="00CD43F0" w:rsidRDefault="00BB40D7">
            <w:pPr>
              <w:pStyle w:val="Normale1"/>
              <w:tabs>
                <w:tab w:val="left" w:pos="7230"/>
              </w:tabs>
              <w:spacing w:after="120"/>
              <w:jc w:val="both"/>
            </w:pPr>
            <w:r>
              <w:rPr>
                <w:noProof/>
              </w:rPr>
              <w:drawing>
                <wp:inline distT="114300" distB="114300" distL="114300" distR="114300">
                  <wp:extent cx="9563100" cy="2133600"/>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cstate="print"/>
                          <a:srcRect/>
                          <a:stretch>
                            <a:fillRect/>
                          </a:stretch>
                        </pic:blipFill>
                        <pic:spPr>
                          <a:xfrm>
                            <a:off x="0" y="0"/>
                            <a:ext cx="9563100" cy="2133600"/>
                          </a:xfrm>
                          <a:prstGeom prst="rect">
                            <a:avLst/>
                          </a:prstGeom>
                          <a:ln/>
                        </pic:spPr>
                      </pic:pic>
                    </a:graphicData>
                  </a:graphic>
                </wp:inline>
              </w:drawing>
            </w:r>
          </w:p>
        </w:tc>
      </w:tr>
    </w:tbl>
    <w:p w:rsidR="00CD43F0" w:rsidRDefault="00CD43F0">
      <w:pPr>
        <w:pStyle w:val="Normale1"/>
        <w:tabs>
          <w:tab w:val="left" w:pos="7230"/>
        </w:tabs>
        <w:spacing w:after="120"/>
        <w:jc w:val="both"/>
      </w:pPr>
    </w:p>
    <w:p w:rsidR="00CA623F" w:rsidRDefault="00CA623F">
      <w:pPr>
        <w:pStyle w:val="Normale1"/>
        <w:tabs>
          <w:tab w:val="left" w:pos="7230"/>
        </w:tabs>
        <w:spacing w:after="120"/>
        <w:jc w:val="both"/>
      </w:pPr>
    </w:p>
    <w:p w:rsidR="00CD43F0" w:rsidRDefault="00BB40D7">
      <w:pPr>
        <w:pStyle w:val="Normale1"/>
        <w:tabs>
          <w:tab w:val="left" w:pos="7230"/>
        </w:tabs>
        <w:spacing w:after="120" w:line="240" w:lineRule="auto"/>
        <w:jc w:val="right"/>
      </w:pPr>
      <w:r>
        <w:rPr>
          <w:b/>
          <w:color w:val="4F6228"/>
          <w:sz w:val="24"/>
          <w:szCs w:val="24"/>
        </w:rPr>
        <w:t>FIRMA</w:t>
      </w:r>
      <w:r>
        <w:rPr>
          <w:b/>
          <w:color w:val="4F6228"/>
          <w:sz w:val="18"/>
          <w:szCs w:val="18"/>
          <w:vertAlign w:val="superscript"/>
        </w:rPr>
        <w:footnoteReference w:id="1"/>
      </w:r>
    </w:p>
    <w:p w:rsidR="00CD43F0" w:rsidRDefault="00BB40D7">
      <w:pPr>
        <w:pStyle w:val="Normale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right"/>
      </w:pPr>
      <w:r>
        <w:rPr>
          <w:color w:val="002060"/>
          <w:sz w:val="24"/>
          <w:szCs w:val="24"/>
        </w:rPr>
        <w:t>_______________________________________</w:t>
      </w:r>
    </w:p>
    <w:p w:rsidR="00CD43F0" w:rsidRDefault="00CD43F0">
      <w:pPr>
        <w:pStyle w:val="Normale1"/>
        <w:tabs>
          <w:tab w:val="left" w:pos="7230"/>
        </w:tabs>
        <w:spacing w:after="120" w:line="240" w:lineRule="auto"/>
        <w:jc w:val="right"/>
      </w:pPr>
    </w:p>
    <w:sectPr w:rsidR="00CD43F0" w:rsidSect="00267467">
      <w:footerReference w:type="default" r:id="rId9"/>
      <w:pgSz w:w="16838" w:h="11906" w:orient="landscape" w:code="9"/>
      <w:pgMar w:top="720" w:right="720" w:bottom="720" w:left="720" w:header="720" w:footer="284"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A06" w:rsidRDefault="00792A06" w:rsidP="00CD43F0">
      <w:pPr>
        <w:spacing w:after="0" w:line="240" w:lineRule="auto"/>
      </w:pPr>
      <w:r>
        <w:separator/>
      </w:r>
    </w:p>
  </w:endnote>
  <w:endnote w:type="continuationSeparator" w:id="0">
    <w:p w:rsidR="00792A06" w:rsidRDefault="00792A06" w:rsidP="00CD43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3F0" w:rsidRDefault="008D3AE1" w:rsidP="00B63202">
    <w:pPr>
      <w:pStyle w:val="Normale1"/>
      <w:tabs>
        <w:tab w:val="center" w:pos="4819"/>
        <w:tab w:val="right" w:pos="9638"/>
      </w:tabs>
      <w:spacing w:after="708" w:line="240" w:lineRule="auto"/>
      <w:jc w:val="right"/>
    </w:pPr>
    <w:r>
      <w:fldChar w:fldCharType="begin"/>
    </w:r>
    <w:r w:rsidR="009319ED">
      <w:instrText>PAGE</w:instrText>
    </w:r>
    <w:r>
      <w:fldChar w:fldCharType="separate"/>
    </w:r>
    <w:r w:rsidR="00C8584C">
      <w:rPr>
        <w:noProof/>
      </w:rPr>
      <w:t>22</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A06" w:rsidRDefault="00792A06" w:rsidP="00CD43F0">
      <w:pPr>
        <w:spacing w:after="0" w:line="240" w:lineRule="auto"/>
      </w:pPr>
      <w:r>
        <w:separator/>
      </w:r>
    </w:p>
  </w:footnote>
  <w:footnote w:type="continuationSeparator" w:id="0">
    <w:p w:rsidR="00792A06" w:rsidRDefault="00792A06" w:rsidP="00CD43F0">
      <w:pPr>
        <w:spacing w:after="0" w:line="240" w:lineRule="auto"/>
      </w:pPr>
      <w:r>
        <w:continuationSeparator/>
      </w:r>
    </w:p>
  </w:footnote>
  <w:footnote w:id="1">
    <w:p w:rsidR="00CD43F0" w:rsidRDefault="00BB40D7">
      <w:pPr>
        <w:pStyle w:val="Normale1"/>
        <w:tabs>
          <w:tab w:val="left" w:pos="7230"/>
        </w:tabs>
        <w:spacing w:after="120" w:line="240" w:lineRule="auto"/>
        <w:jc w:val="both"/>
      </w:pPr>
      <w:r>
        <w:rPr>
          <w:vertAlign w:val="superscript"/>
        </w:rPr>
        <w:footnoteRef/>
      </w:r>
      <w:r>
        <w:rPr>
          <w:b/>
          <w:color w:val="4F6228"/>
          <w:sz w:val="18"/>
          <w:szCs w:val="18"/>
        </w:rPr>
        <w:t xml:space="preserve"> La scheda deve essere sottoscritta dal legale rappresentante dell’istituto capofila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C6928"/>
    <w:multiLevelType w:val="multilevel"/>
    <w:tmpl w:val="F14A37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4B75C02"/>
    <w:multiLevelType w:val="multilevel"/>
    <w:tmpl w:val="22268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8203D4D"/>
    <w:multiLevelType w:val="multilevel"/>
    <w:tmpl w:val="0B96D0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2774355E"/>
    <w:multiLevelType w:val="multilevel"/>
    <w:tmpl w:val="335E07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373D557D"/>
    <w:multiLevelType w:val="multilevel"/>
    <w:tmpl w:val="CD1647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3EBD15F2"/>
    <w:multiLevelType w:val="multilevel"/>
    <w:tmpl w:val="4B7ADD4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nsid w:val="64B23B0E"/>
    <w:multiLevelType w:val="multilevel"/>
    <w:tmpl w:val="7C0E8A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65885859"/>
    <w:multiLevelType w:val="multilevel"/>
    <w:tmpl w:val="1B4C76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67853442"/>
    <w:multiLevelType w:val="hybridMultilevel"/>
    <w:tmpl w:val="09960670"/>
    <w:lvl w:ilvl="0" w:tplc="CC36F25A">
      <w:start w:val="1"/>
      <w:numFmt w:val="decimal"/>
      <w:lvlText w:val="%1)"/>
      <w:lvlJc w:val="left"/>
      <w:pPr>
        <w:ind w:left="720" w:hanging="360"/>
      </w:pPr>
      <w:rPr>
        <w:rFonts w:hint="default"/>
        <w:b/>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689309FC"/>
    <w:multiLevelType w:val="multilevel"/>
    <w:tmpl w:val="58FE63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73765216"/>
    <w:multiLevelType w:val="multilevel"/>
    <w:tmpl w:val="A94A10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4"/>
  </w:num>
  <w:num w:numId="2">
    <w:abstractNumId w:val="3"/>
  </w:num>
  <w:num w:numId="3">
    <w:abstractNumId w:val="5"/>
  </w:num>
  <w:num w:numId="4">
    <w:abstractNumId w:val="9"/>
  </w:num>
  <w:num w:numId="5">
    <w:abstractNumId w:val="10"/>
  </w:num>
  <w:num w:numId="6">
    <w:abstractNumId w:val="6"/>
  </w:num>
  <w:num w:numId="7">
    <w:abstractNumId w:val="1"/>
  </w:num>
  <w:num w:numId="8">
    <w:abstractNumId w:val="0"/>
  </w:num>
  <w:num w:numId="9">
    <w:abstractNumId w:val="2"/>
  </w:num>
  <w:num w:numId="10">
    <w:abstractNumId w:val="7"/>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20"/>
  <w:hyphenationZone w:val="283"/>
  <w:characterSpacingControl w:val="doNotCompress"/>
  <w:hdrShapeDefaults>
    <o:shapedefaults v:ext="edit" spidmax="5122"/>
  </w:hdrShapeDefaults>
  <w:footnotePr>
    <w:footnote w:id="-1"/>
    <w:footnote w:id="0"/>
  </w:footnotePr>
  <w:endnotePr>
    <w:endnote w:id="-1"/>
    <w:endnote w:id="0"/>
  </w:endnotePr>
  <w:compat/>
  <w:rsids>
    <w:rsidRoot w:val="00CD43F0"/>
    <w:rsid w:val="00035A97"/>
    <w:rsid w:val="00267467"/>
    <w:rsid w:val="00301DAE"/>
    <w:rsid w:val="004B37BC"/>
    <w:rsid w:val="00792A06"/>
    <w:rsid w:val="008D3AE1"/>
    <w:rsid w:val="009319ED"/>
    <w:rsid w:val="00A83FE9"/>
    <w:rsid w:val="00B05D30"/>
    <w:rsid w:val="00B63202"/>
    <w:rsid w:val="00BB40D7"/>
    <w:rsid w:val="00C8584C"/>
    <w:rsid w:val="00CA623F"/>
    <w:rsid w:val="00CD43F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000000"/>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D3AE1"/>
  </w:style>
  <w:style w:type="paragraph" w:styleId="Titolo1">
    <w:name w:val="heading 1"/>
    <w:basedOn w:val="Normale1"/>
    <w:next w:val="Normale1"/>
    <w:rsid w:val="00CD43F0"/>
    <w:pPr>
      <w:keepNext/>
      <w:keepLines/>
      <w:spacing w:before="480" w:after="120"/>
      <w:contextualSpacing/>
      <w:outlineLvl w:val="0"/>
    </w:pPr>
    <w:rPr>
      <w:b/>
      <w:sz w:val="48"/>
      <w:szCs w:val="48"/>
    </w:rPr>
  </w:style>
  <w:style w:type="paragraph" w:styleId="Titolo2">
    <w:name w:val="heading 2"/>
    <w:basedOn w:val="Normale1"/>
    <w:next w:val="Normale1"/>
    <w:rsid w:val="00CD43F0"/>
    <w:pPr>
      <w:keepNext/>
      <w:keepLines/>
      <w:spacing w:before="100" w:after="100" w:line="240" w:lineRule="auto"/>
      <w:outlineLvl w:val="1"/>
    </w:pPr>
    <w:rPr>
      <w:rFonts w:ascii="Times New Roman" w:eastAsia="Times New Roman" w:hAnsi="Times New Roman" w:cs="Times New Roman"/>
      <w:b/>
      <w:sz w:val="36"/>
      <w:szCs w:val="36"/>
    </w:rPr>
  </w:style>
  <w:style w:type="paragraph" w:styleId="Titolo3">
    <w:name w:val="heading 3"/>
    <w:basedOn w:val="Normale1"/>
    <w:next w:val="Normale1"/>
    <w:rsid w:val="00CD43F0"/>
    <w:pPr>
      <w:keepNext/>
      <w:keepLines/>
      <w:spacing w:before="100" w:after="100" w:line="240" w:lineRule="auto"/>
      <w:outlineLvl w:val="2"/>
    </w:pPr>
    <w:rPr>
      <w:rFonts w:ascii="Times New Roman" w:eastAsia="Times New Roman" w:hAnsi="Times New Roman" w:cs="Times New Roman"/>
      <w:b/>
      <w:sz w:val="27"/>
      <w:szCs w:val="27"/>
    </w:rPr>
  </w:style>
  <w:style w:type="paragraph" w:styleId="Titolo4">
    <w:name w:val="heading 4"/>
    <w:basedOn w:val="Normale1"/>
    <w:next w:val="Normale1"/>
    <w:rsid w:val="00CD43F0"/>
    <w:pPr>
      <w:keepNext/>
      <w:keepLines/>
      <w:spacing w:before="200" w:after="0"/>
      <w:outlineLvl w:val="3"/>
    </w:pPr>
    <w:rPr>
      <w:rFonts w:ascii="Cambria" w:eastAsia="Cambria" w:hAnsi="Cambria" w:cs="Cambria"/>
      <w:b/>
      <w:i/>
      <w:color w:val="4F81BD"/>
    </w:rPr>
  </w:style>
  <w:style w:type="paragraph" w:styleId="Titolo5">
    <w:name w:val="heading 5"/>
    <w:basedOn w:val="Normale1"/>
    <w:next w:val="Normale1"/>
    <w:rsid w:val="00CD43F0"/>
    <w:pPr>
      <w:keepNext/>
      <w:keepLines/>
      <w:spacing w:before="220" w:after="40"/>
      <w:contextualSpacing/>
      <w:outlineLvl w:val="4"/>
    </w:pPr>
    <w:rPr>
      <w:b/>
    </w:rPr>
  </w:style>
  <w:style w:type="paragraph" w:styleId="Titolo6">
    <w:name w:val="heading 6"/>
    <w:basedOn w:val="Normale1"/>
    <w:next w:val="Normale1"/>
    <w:rsid w:val="00CD43F0"/>
    <w:pPr>
      <w:keepNext/>
      <w:keepLines/>
      <w:spacing w:before="200" w:after="40"/>
      <w:contextualSpacing/>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CD43F0"/>
  </w:style>
  <w:style w:type="table" w:customStyle="1" w:styleId="TableNormal">
    <w:name w:val="Table Normal"/>
    <w:rsid w:val="00CD43F0"/>
    <w:tblPr>
      <w:tblCellMar>
        <w:top w:w="0" w:type="dxa"/>
        <w:left w:w="0" w:type="dxa"/>
        <w:bottom w:w="0" w:type="dxa"/>
        <w:right w:w="0" w:type="dxa"/>
      </w:tblCellMar>
    </w:tblPr>
  </w:style>
  <w:style w:type="paragraph" w:styleId="Titolo">
    <w:name w:val="Title"/>
    <w:basedOn w:val="Normale1"/>
    <w:next w:val="Normale1"/>
    <w:rsid w:val="00CD43F0"/>
    <w:pPr>
      <w:keepNext/>
      <w:keepLines/>
      <w:spacing w:before="480" w:after="120"/>
      <w:contextualSpacing/>
    </w:pPr>
    <w:rPr>
      <w:b/>
      <w:sz w:val="72"/>
      <w:szCs w:val="72"/>
    </w:rPr>
  </w:style>
  <w:style w:type="paragraph" w:styleId="Sottotitolo">
    <w:name w:val="Subtitle"/>
    <w:basedOn w:val="Normale1"/>
    <w:next w:val="Normale1"/>
    <w:rsid w:val="00CD43F0"/>
    <w:pPr>
      <w:keepNext/>
      <w:keepLines/>
      <w:spacing w:before="360" w:after="80"/>
      <w:contextualSpacing/>
    </w:pPr>
    <w:rPr>
      <w:rFonts w:ascii="Georgia" w:eastAsia="Georgia" w:hAnsi="Georgia" w:cs="Georgia"/>
      <w:i/>
      <w:color w:val="666666"/>
      <w:sz w:val="48"/>
      <w:szCs w:val="48"/>
    </w:rPr>
  </w:style>
  <w:style w:type="table" w:customStyle="1" w:styleId="a">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0">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1">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2">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3">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4">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5">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6">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7">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8">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9">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a">
    <w:basedOn w:val="TableNormal"/>
    <w:rsid w:val="00CD43F0"/>
    <w:tblPr>
      <w:tblStyleRowBandSize w:val="1"/>
      <w:tblStyleColBandSize w:val="1"/>
      <w:tblCellMar>
        <w:top w:w="0" w:type="dxa"/>
        <w:left w:w="70" w:type="dxa"/>
        <w:bottom w:w="0" w:type="dxa"/>
        <w:right w:w="70" w:type="dxa"/>
      </w:tblCellMar>
    </w:tblPr>
  </w:style>
  <w:style w:type="table" w:customStyle="1" w:styleId="ab">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table" w:customStyle="1" w:styleId="ac">
    <w:basedOn w:val="TableNormal"/>
    <w:rsid w:val="00CD43F0"/>
    <w:pPr>
      <w:spacing w:after="0" w:line="240" w:lineRule="auto"/>
    </w:pPr>
    <w:tblPr>
      <w:tblStyleRowBandSize w:val="1"/>
      <w:tblStyleColBandSize w:val="1"/>
      <w:tblCellMar>
        <w:top w:w="0" w:type="dxa"/>
        <w:left w:w="115" w:type="dxa"/>
        <w:bottom w:w="0" w:type="dxa"/>
        <w:right w:w="115" w:type="dxa"/>
      </w:tblCellMar>
    </w:tblPr>
  </w:style>
  <w:style w:type="paragraph" w:styleId="Intestazione">
    <w:name w:val="header"/>
    <w:basedOn w:val="Normale"/>
    <w:link w:val="IntestazioneCarattere"/>
    <w:uiPriority w:val="99"/>
    <w:semiHidden/>
    <w:unhideWhenUsed/>
    <w:rsid w:val="00B6320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B63202"/>
  </w:style>
  <w:style w:type="paragraph" w:styleId="Pidipagina">
    <w:name w:val="footer"/>
    <w:basedOn w:val="Normale"/>
    <w:link w:val="PidipaginaCarattere"/>
    <w:uiPriority w:val="99"/>
    <w:semiHidden/>
    <w:unhideWhenUsed/>
    <w:rsid w:val="00B6320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B63202"/>
  </w:style>
  <w:style w:type="paragraph" w:styleId="Testofumetto">
    <w:name w:val="Balloon Text"/>
    <w:basedOn w:val="Normale"/>
    <w:link w:val="TestofumettoCarattere"/>
    <w:uiPriority w:val="99"/>
    <w:semiHidden/>
    <w:unhideWhenUsed/>
    <w:rsid w:val="00CA623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A62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FB1187-DC59-4FA6-BD02-09CE50CE1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7430</Words>
  <Characters>42352</Characters>
  <Application>Microsoft Office Word</Application>
  <DocSecurity>0</DocSecurity>
  <Lines>352</Lines>
  <Paragraphs>99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boni.fabrizio</dc:creator>
  <cp:lastModifiedBy>preside</cp:lastModifiedBy>
  <cp:revision>2</cp:revision>
  <cp:lastPrinted>2016-04-27T17:03:00Z</cp:lastPrinted>
  <dcterms:created xsi:type="dcterms:W3CDTF">2016-05-09T11:56:00Z</dcterms:created>
  <dcterms:modified xsi:type="dcterms:W3CDTF">2016-05-09T11:56:00Z</dcterms:modified>
</cp:coreProperties>
</file>