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numPr>
          <w:ilvl w:val="0"/>
          <w:numId w:val="1"/>
        </w:numPr>
        <w:tabs>
          <w:tab w:val="left" w:pos="0" w:leader="none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Curriculum scientifico e didattico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Emanuela Minuto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Nata a Carrara (MS) il 19 novembre 1972.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Titolo2"/>
        <w:numPr>
          <w:ilvl w:val="1"/>
          <w:numId w:val="1"/>
        </w:numPr>
        <w:tabs>
          <w:tab w:val="left" w:pos="0" w:leader="none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Curriculum studiorum e di ricerca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 1998 si laurea con lode in Scienze Politiche presso l’Università di Pisa con una tesi dal titolo </w:t>
      </w:r>
      <w:r>
        <w:rPr>
          <w:rFonts w:eastAsia="Times New Roman" w:ascii="Arial Narrow" w:hAnsi="Arial Narrow"/>
          <w:i/>
          <w:iCs/>
          <w:lang w:eastAsia="ar-SA"/>
        </w:rPr>
        <w:t>Sonnino, Mosca e la crisi delle istituzioni rappresentative nell’Italia dell’Ottocento</w:t>
      </w:r>
      <w:r>
        <w:rPr>
          <w:rFonts w:eastAsia="Times New Roman" w:ascii="Arial Narrow" w:hAnsi="Arial Narrow"/>
          <w:lang w:eastAsia="ar-SA"/>
        </w:rPr>
        <w:t xml:space="preserve">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i/>
          <w:i/>
          <w:iCs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Ottiene nel 1998 la borsa di studio “Mario Pannunzio” della Fondazione “Luigi Einaudi” di Torino relativa ad una ricerca sulle </w:t>
      </w:r>
      <w:r>
        <w:rPr>
          <w:rFonts w:eastAsia="Times New Roman" w:ascii="Arial Narrow" w:hAnsi="Arial Narrow"/>
          <w:i/>
          <w:iCs/>
          <w:lang w:eastAsia="ar-SA"/>
        </w:rPr>
        <w:t>Questioni di politica coloniale nel ‘Marzocco’ dei fratelli Orvieto.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i/>
          <w:i/>
          <w:iCs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Ammessa nel 1999 al XIV ciclo del Dottorato di Ricerca in “Storia Moderna e Contemporanea” del Dipartimento di Scienze della Politica dell’Università di Pisa. Consegue nel 2002 il titolo di dottore di ricerca, presentando una tesi dal titolo </w:t>
      </w:r>
      <w:r>
        <w:rPr>
          <w:rFonts w:eastAsia="Times New Roman" w:ascii="Arial Narrow" w:hAnsi="Arial Narrow"/>
          <w:i/>
          <w:iCs/>
          <w:lang w:eastAsia="ar-SA"/>
        </w:rPr>
        <w:t>Sidney Sonnino e la politica interna italiana. Dal «Quid Agendum?» al governo del 1906.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Vince nell’aprile del 2002 una borsa di studio semestrale nell’ambito del progetto di ricerca cofinanziato MURST, dedicato al tema </w:t>
      </w:r>
      <w:r>
        <w:rPr>
          <w:rFonts w:eastAsia="Times New Roman" w:ascii="Arial Narrow" w:hAnsi="Arial Narrow"/>
          <w:i/>
          <w:iCs/>
          <w:lang w:eastAsia="ar-SA"/>
        </w:rPr>
        <w:t>Cultura politica europea e specificità italiana nella formazione del ceto dirigente liberale</w:t>
      </w:r>
      <w:r>
        <w:rPr>
          <w:rFonts w:eastAsia="Times New Roman" w:ascii="Arial Narrow" w:hAnsi="Arial Narrow"/>
          <w:lang w:eastAsia="ar-SA"/>
        </w:rPr>
        <w:t xml:space="preserve"> e coordinato dal Dipartimento di Scienze della Politica dell’Università di Pisa.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Ottiene nel luglio 2003 un assegno biennale di ricerca del Dipartimento di Scienze della Politica dell’Università di Pisa, rinnovato alla scadenza.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Il 2 gennaio 2009 prende servizio in qualità di ricercatrice nel settore disciplinare M-STO/04 (Storia Contemporanea) presso la facoltà di Scienze Politiche dell'Università di Pisa. </w:t>
      </w:r>
    </w:p>
    <w:p>
      <w:pPr>
        <w:pStyle w:val="Normal"/>
        <w:spacing w:lineRule="auto" w:line="360"/>
        <w:jc w:val="both"/>
        <w:rPr>
          <w:rFonts w:cs="Tahoma"/>
        </w:rPr>
      </w:pPr>
      <w:r>
        <w:rPr>
          <w:rFonts w:cs="Tahoma"/>
        </w:rPr>
      </w:r>
    </w:p>
    <w:p>
      <w:pPr>
        <w:pStyle w:val="Titolo2"/>
        <w:numPr>
          <w:ilvl w:val="1"/>
          <w:numId w:val="1"/>
        </w:numPr>
        <w:tabs>
          <w:tab w:val="left" w:pos="0" w:leader="none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Attività didattica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2008-2009 ha tenuto l’insegnamento di Storia Moderna I </w:t>
      </w:r>
      <w:r>
        <w:rPr>
          <w:rFonts w:ascii="Arial Narrow" w:hAnsi="Arial Narrow"/>
          <w:lang w:eastAsia="ar-SA"/>
        </w:rPr>
        <w:t>(4 CFU, 30 ore) per la Classe di laurea specialistica 70/s in “Scienze politiche” dell’Univerisità di Pisa</w:t>
      </w:r>
      <w:r>
        <w:rPr>
          <w:rFonts w:eastAsia="Times New Roman" w:ascii="Arial Narrow" w:hAnsi="Arial Narrow"/>
          <w:lang w:eastAsia="ar-SA"/>
        </w:rPr>
        <w:t>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2009-2010 ha tenuto l’insegnamento di Storia Moderna I </w:t>
      </w:r>
      <w:r>
        <w:rPr>
          <w:rFonts w:ascii="Arial Narrow" w:hAnsi="Arial Narrow"/>
          <w:lang w:eastAsia="ar-SA"/>
        </w:rPr>
        <w:t>(4 CFU, 30 ore) per la Classe di laurea specialistica 70/s in “Scienze politiche” dell’Univerisità di Pisa</w:t>
      </w:r>
      <w:r>
        <w:rPr>
          <w:rFonts w:eastAsia="Times New Roman" w:ascii="Arial Narrow" w:hAnsi="Arial Narrow"/>
          <w:lang w:eastAsia="ar-SA"/>
        </w:rPr>
        <w:t>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2009-2010 ha tenuto l’insegnamento di Storia del commercio e della navigazione </w:t>
      </w:r>
      <w:r>
        <w:rPr>
          <w:rFonts w:ascii="Arial Narrow" w:hAnsi="Arial Narrow"/>
          <w:lang w:eastAsia="ar-SA"/>
        </w:rPr>
        <w:t xml:space="preserve">II (5 CFU, 35 ore) per la Classe di Laurea 17 in “Scienze dell'economia e della gestione aziendale” </w:t>
      </w:r>
    </w:p>
    <w:p>
      <w:pPr>
        <w:pStyle w:val="Normal"/>
        <w:spacing w:lineRule="auto" w:line="360"/>
        <w:jc w:val="both"/>
        <w:rPr>
          <w:rFonts w:ascii="Arial Narrow" w:hAnsi="Arial Narrow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2010-2011 ha tenuto l'insegnamento di </w:t>
      </w:r>
      <w:r>
        <w:rPr>
          <w:rFonts w:ascii="Arial Narrow" w:hAnsi="Arial Narrow"/>
          <w:lang w:eastAsia="ar-SA"/>
        </w:rPr>
        <w:t xml:space="preserve">Storia del commercio e della navigazione II (5 CFU, 35 ore) per la Classe di Laurea 17 in “Scienze dell'economia e della gestione aziendale” dell’Università di Pisa. </w:t>
      </w:r>
    </w:p>
    <w:p>
      <w:pPr>
        <w:pStyle w:val="Normal"/>
        <w:spacing w:lineRule="auto" w:line="360"/>
        <w:jc w:val="both"/>
        <w:rPr>
          <w:rFonts w:ascii="Arial Narrow" w:hAnsi="Arial Narrow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2011-2012 ha tenuto l'insegnamento di </w:t>
      </w:r>
      <w:r>
        <w:rPr>
          <w:rFonts w:ascii="Arial Narrow" w:hAnsi="Arial Narrow"/>
          <w:lang w:eastAsia="ar-SA"/>
        </w:rPr>
        <w:t>Storia del commercio e della navigazione II (5 CFU, 35 ore) per la Classe di Laurea 18 in “Scienze dell'economia e della gestione aziendale” (svolto nel secondo semestre) dell’Università di Pisa.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2013-2014 ha tenuto l'insegnamento di Storia Contemporanea (9 CFU, 63 ore) per i corso di laurea in Scienze dell'amministrazione e dell'organizzazione (classe 16) e in Scienze politiche e delle relazioni internazionali (classe 36) dell'Università di Pisa.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Nell'anno accademico 2014-2015 ha tenuto l'insegnamento di Storia Contemporanea (9 CFU, 63 ore) per i corso di laurea in Scienze dell'amministrazione e dell'organizzazione (classe 16) e in Scienze politiche e delle relazioni internazionali (classe 36) dell'Università di Pisa.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Nell'anno accademico 2015-2016 ha tenuto l'insegnamento di Storia Contemporanea (6 CFU, 45 ore) per la classe 36 dell’Università di Pisa.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Nell’anno accademico 2016-2017 ha tenuto l’insegnamento di Storia del giornalismo (6 crediti, 45 ore) per le classi magistrali 52, 59, 63, 87/88.</w:t>
      </w:r>
    </w:p>
    <w:p>
      <w:pPr>
        <w:pStyle w:val="Normal"/>
        <w:spacing w:lineRule="auto" w:line="360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spacing w:lineRule="auto" w:line="36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b/>
          <w:b/>
          <w:bCs/>
          <w:lang w:eastAsia="ar-SA"/>
        </w:rPr>
      </w:pPr>
      <w:r>
        <w:rPr>
          <w:rFonts w:eastAsia="Times New Roman" w:ascii="Arial Narrow" w:hAnsi="Arial Narrow"/>
          <w:b/>
          <w:bCs/>
          <w:lang w:eastAsia="ar-SA"/>
        </w:rPr>
        <w:t>Elenco dei titoli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1. Laurea in Scienze Politiche conseguita il 2 marzo 1998 presso la Facoltà di Scienze Politiche dell’Università di Pisa con votazione finale di 110/110 con lode (relatore Prof. R. Nieri).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2. Borsa di studio </w:t>
      </w:r>
      <w:r>
        <w:rPr>
          <w:rFonts w:eastAsia="Times New Roman" w:ascii="Arial Narrow" w:hAnsi="Arial Narrow"/>
          <w:i/>
          <w:iCs/>
          <w:lang w:eastAsia="ar-SA"/>
        </w:rPr>
        <w:t xml:space="preserve">Mario Pannunzio </w:t>
      </w:r>
      <w:r>
        <w:rPr>
          <w:rFonts w:eastAsia="Times New Roman" w:ascii="Arial Narrow" w:hAnsi="Arial Narrow"/>
          <w:lang w:eastAsia="ar-SA"/>
        </w:rPr>
        <w:t>presso la Fondazione “Luigi Einaudi” di Torino (1998).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3. Dottorato di ricerca in “Storia Moderna e Contemporanea”, XIV ciclo del Dipartimento di Scienze della Politica-Università di Pisa, conseguito il 3 maggio 2002.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4. Borsa di studio nell’ambito del progetto di ricerca cofinanziato MURST, dedicato al tema </w:t>
      </w:r>
      <w:r>
        <w:rPr>
          <w:rFonts w:eastAsia="Times New Roman" w:ascii="Arial Narrow" w:hAnsi="Arial Narrow"/>
          <w:i/>
          <w:iCs/>
          <w:lang w:eastAsia="ar-SA"/>
        </w:rPr>
        <w:t>Cultura politica europea e specificità italiana nella formazione del ceto dirigente liberale</w:t>
      </w:r>
      <w:r>
        <w:rPr>
          <w:rFonts w:eastAsia="Times New Roman" w:ascii="Arial Narrow" w:hAnsi="Arial Narrow"/>
          <w:lang w:eastAsia="ar-SA"/>
        </w:rPr>
        <w:t xml:space="preserve"> e coordinato dal Dipartimento di Scienze della Politica dell’Università di Pisa (aprile-ottobre 2002).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5. Assegno di ricerca biennale del Dipartimento di Scienze della Politica-Università di Pisa, rinnovato alla scadenza (luglio 2003-giugno 2007).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6. Cultrice della materia nell’ambito degli insegnamenti di Storia economica (2002-2005), Storia contemporanea (dal 2006), Storia moderna (dal 2003), Storia del Risorgimento (dal 2000) e Geografia politica ed economica (dal 2006) presso la Facoltà di Scienze Politiche dell’Università di Pisa.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7. Dal 2 gennaio 2009 è ricercatrice nel settore disciplinare M-STO/04.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8. Dal 2013 è membro del Consiglio di Dottorato in Scienze Politiche dell'Università di Pisa.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9. Dal maggio 2014 è membro del Comitato scientifico della “Biblioteca Franco Serantini. Archivio e centro di documentazione di storia sociale e contemporanea” di Pisa.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10. Il 22 settembre 2014 (decreto del Presidente della Giunta regionale n.140) è stata nominata membro del Comitato per le celebrazioni del 70° anniversario della Liberazione della Toscana, in qualità di esperta in materia individuata dall’Università degli studi di Pisa.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 w:cs="Calibri"/>
          <w:color w:val="262626"/>
        </w:rPr>
      </w:pPr>
      <w:r>
        <w:rPr>
          <w:rFonts w:eastAsia="Times New Roman" w:ascii="Arial Narrow" w:hAnsi="Arial Narrow"/>
          <w:lang w:eastAsia="ar-SA"/>
        </w:rPr>
        <w:t xml:space="preserve">11. Nell’agosto 2015 è stata nominata membro </w:t>
      </w:r>
      <w:r>
        <w:rPr>
          <w:rFonts w:eastAsia="Times New Roman" w:cs="Calibri" w:ascii="Arial Narrow" w:hAnsi="Arial Narrow"/>
          <w:color w:val="262626"/>
        </w:rPr>
        <w:t xml:space="preserve">della commissione giudicatrice per il concorso di ammissione al corso di dottorato in </w:t>
      </w:r>
      <w:r>
        <w:rPr>
          <w:rFonts w:eastAsia="Times New Roman" w:cs="Calibri" w:ascii="Arial Narrow" w:hAnsi="Arial Narrow"/>
          <w:iCs/>
        </w:rPr>
        <w:t>Scienze Politiche riservato a candidati formazione estera</w:t>
      </w:r>
      <w:r>
        <w:rPr>
          <w:rFonts w:eastAsia="Times New Roman" w:cs="Calibri" w:ascii="Arial Narrow" w:hAnsi="Arial Narrow"/>
          <w:i/>
          <w:iCs/>
        </w:rPr>
        <w:t xml:space="preserve"> </w:t>
      </w:r>
      <w:r>
        <w:rPr>
          <w:rFonts w:eastAsia="Times New Roman" w:cs="Calibri" w:ascii="Arial Narrow" w:hAnsi="Arial Narrow"/>
          <w:iCs/>
        </w:rPr>
        <w:t>dell’Università di Pisa</w:t>
      </w:r>
      <w:r>
        <w:rPr>
          <w:rFonts w:eastAsia="Times New Roman" w:cs="Calibri" w:ascii="Arial Narrow" w:hAnsi="Arial Narrow"/>
          <w:color w:val="262626"/>
        </w:rPr>
        <w:t xml:space="preserve"> (a.a. 2015/2016).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  <w:t>12. 2015 Ha partecipato al progetto di ricerca di Ateneo annuale selezionato come meritevole di finanziamento dall’Università di Pisa (PRA 2015).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  <w:t>13. Dal 2015 è membro del Comitato scientifico dell’</w:t>
      </w:r>
      <w:r>
        <w:rPr>
          <w:rFonts w:ascii="Arial Narrow" w:hAnsi="Arial Narrow"/>
        </w:rPr>
        <w:t xml:space="preserve">Archivio Famiglia Berneri - Aurelio Chessa di Reggio Emilia. </w:t>
      </w:r>
    </w:p>
    <w:p>
      <w:pPr>
        <w:pStyle w:val="Normal"/>
        <w:suppressAutoHyphens w:val="false"/>
        <w:spacing w:lineRule="auto" w:line="360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  <w:t xml:space="preserve">14. Da aprile 2016 è membro del collegio di dottorato di Scienze Politiche, Università di Pisa aa. 2016/2017 ciclo 32. </w:t>
      </w:r>
    </w:p>
    <w:p>
      <w:pPr>
        <w:pStyle w:val="Normal"/>
        <w:suppressAutoHyphens w:val="false"/>
        <w:spacing w:lineRule="auto" w:line="360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  <w:t>15. Il 24 ottobre 2016 è stata nominata membro della commissione scientifica di area 11 dell’Ateneo di Pisa.</w:t>
      </w:r>
    </w:p>
    <w:p>
      <w:pPr>
        <w:pStyle w:val="Normal"/>
        <w:suppressAutoHyphens w:val="false"/>
        <w:spacing w:lineRule="auto" w:line="360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  <w:t>16. Dall’aprile 2017 partecipa</w:t>
      </w:r>
      <w:r>
        <w:rPr>
          <w:rFonts w:eastAsia="Times New Roman" w:ascii="Arial Narrow" w:hAnsi="Arial Narrow"/>
          <w:color w:val="262626"/>
        </w:rPr>
        <w:t xml:space="preserve"> al progetto di ricerca di Ateneo </w:t>
      </w:r>
      <w:r>
        <w:rPr>
          <w:rFonts w:eastAsia="Times New Roman" w:cs="Calibri" w:ascii="Arial Narrow" w:hAnsi="Arial Narrow"/>
          <w:color w:val="262626"/>
        </w:rPr>
        <w:t xml:space="preserve">biennale dal titolo </w:t>
      </w:r>
      <w:r>
        <w:rPr>
          <w:rFonts w:eastAsia="Times New Roman" w:ascii="Arial Narrow" w:hAnsi="Arial Narrow"/>
          <w:i/>
          <w:color w:val="262626"/>
        </w:rPr>
        <w:t>Le vie della cittadinanza in Europa: storia, idee, istituzioni (1848-1948)</w:t>
      </w:r>
      <w:r>
        <w:rPr>
          <w:rFonts w:eastAsia="Times New Roman" w:ascii="Arial Narrow" w:hAnsi="Arial Narrow"/>
          <w:color w:val="262626"/>
        </w:rPr>
        <w:t xml:space="preserve"> selezionato come meritevole di finanziamento d</w:t>
      </w:r>
      <w:r>
        <w:rPr>
          <w:rFonts w:eastAsia="Times New Roman" w:cs="Calibri" w:ascii="Arial Narrow" w:hAnsi="Arial Narrow"/>
          <w:color w:val="262626"/>
        </w:rPr>
        <w:t>all’Università di Pisa (PRA 2017/2018</w:t>
      </w:r>
      <w:r>
        <w:rPr>
          <w:rFonts w:eastAsia="Times New Roman" w:ascii="Arial Narrow" w:hAnsi="Arial Narrow"/>
          <w:color w:val="262626"/>
        </w:rPr>
        <w:t>).</w:t>
      </w:r>
    </w:p>
    <w:p>
      <w:pPr>
        <w:pStyle w:val="Normal"/>
        <w:suppressAutoHyphens w:val="false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</w:r>
    </w:p>
    <w:p>
      <w:pPr>
        <w:pStyle w:val="Normal"/>
        <w:suppressAutoHyphens w:val="false"/>
        <w:spacing w:lineRule="auto" w:line="360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</w:r>
    </w:p>
    <w:p>
      <w:pPr>
        <w:pStyle w:val="Normal"/>
        <w:suppressAutoHyphens w:val="false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</w:r>
    </w:p>
    <w:p>
      <w:pPr>
        <w:pStyle w:val="Normal"/>
        <w:suppressAutoHyphens w:val="false"/>
        <w:rPr>
          <w:rFonts w:ascii="Arial Narrow" w:hAnsi="Arial Narrow" w:eastAsia="Times New Roman" w:cs="Calibri"/>
          <w:color w:val="262626"/>
        </w:rPr>
      </w:pPr>
      <w:r>
        <w:rPr>
          <w:rFonts w:eastAsia="Times New Roman" w:cs="Calibri" w:ascii="Arial Narrow" w:hAnsi="Arial Narrow"/>
          <w:color w:val="262626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b/>
          <w:b/>
          <w:sz w:val="28"/>
          <w:szCs w:val="28"/>
          <w:lang w:eastAsia="ar-SA"/>
        </w:rPr>
      </w:pPr>
      <w:r>
        <w:rPr>
          <w:rFonts w:eastAsia="Times New Roman" w:ascii="Arial Narrow" w:hAnsi="Arial Narrow"/>
          <w:b/>
          <w:sz w:val="28"/>
          <w:szCs w:val="28"/>
          <w:lang w:eastAsia="ar-SA"/>
        </w:rPr>
        <w:t>Pubblicazioni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Titolo2"/>
        <w:numPr>
          <w:ilvl w:val="1"/>
          <w:numId w:val="1"/>
        </w:numPr>
        <w:tabs>
          <w:tab w:val="left" w:pos="0" w:leader="none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Monografie: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1</w:t>
      </w:r>
      <w:r>
        <w:rPr>
          <w:rFonts w:eastAsia="Times New Roman" w:ascii="Arial Narrow" w:hAnsi="Arial Narrow"/>
          <w:i/>
          <w:iCs/>
          <w:lang w:eastAsia="ar-SA"/>
        </w:rPr>
        <w:t>. Il partito dei parlamentari. Sidney Sonnino e le istituzioni rappresentative (1900-1906)</w:t>
      </w:r>
      <w:r>
        <w:rPr>
          <w:rFonts w:eastAsia="Times New Roman" w:ascii="Arial Narrow" w:hAnsi="Arial Narrow"/>
          <w:lang w:eastAsia="ar-SA"/>
        </w:rPr>
        <w:t xml:space="preserve">, Firenze, Olschki, 2004. </w:t>
      </w:r>
    </w:p>
    <w:p>
      <w:pPr>
        <w:pStyle w:val="Titolo3"/>
        <w:numPr>
          <w:ilvl w:val="2"/>
          <w:numId w:val="1"/>
        </w:numPr>
        <w:tabs>
          <w:tab w:val="left" w:pos="0" w:leader="none"/>
        </w:tabs>
        <w:rPr>
          <w:rFonts w:eastAsia="Times New Roman"/>
          <w:i w:val="false"/>
          <w:i w:val="false"/>
          <w:lang w:eastAsia="ar-SA"/>
        </w:rPr>
      </w:pPr>
      <w:r>
        <w:rPr>
          <w:rFonts w:eastAsia="Times New Roman"/>
          <w:i w:val="false"/>
          <w:lang w:eastAsia="ar-SA"/>
        </w:rPr>
        <w:t xml:space="preserve">2. </w:t>
      </w:r>
      <w:r>
        <w:rPr>
          <w:rFonts w:eastAsia="Times New Roman"/>
          <w:iCs/>
          <w:lang w:eastAsia="ar-SA"/>
        </w:rPr>
        <w:t xml:space="preserve">Un orizzonte bianco e desolato. Carrara 1944: occupazione lotta armata e violenza sui civili, </w:t>
      </w:r>
      <w:r>
        <w:rPr>
          <w:rFonts w:eastAsia="Times New Roman"/>
          <w:i w:val="false"/>
          <w:lang w:eastAsia="ar-SA"/>
        </w:rPr>
        <w:t>Transeuropa, 2008.</w:t>
      </w:r>
    </w:p>
    <w:p>
      <w:pPr>
        <w:pStyle w:val="Normal"/>
        <w:tabs>
          <w:tab w:val="left" w:pos="0" w:leader="none"/>
        </w:tabs>
        <w:spacing w:lineRule="auto" w:line="360"/>
        <w:jc w:val="both"/>
        <w:rPr>
          <w:rFonts w:ascii="Arial Narrow" w:hAnsi="Arial Narrow" w:cs="Tahoma"/>
        </w:rPr>
      </w:pPr>
      <w:r>
        <w:rPr>
          <w:rFonts w:eastAsia="Times New Roman" w:ascii="Arial Narrow" w:hAnsi="Arial Narrow"/>
          <w:lang w:eastAsia="ar-SA"/>
        </w:rPr>
        <w:t xml:space="preserve">3. </w:t>
      </w:r>
      <w:r>
        <w:rPr>
          <w:rFonts w:cs="Tahoma" w:ascii="Arial Narrow" w:hAnsi="Arial Narrow"/>
          <w:i/>
          <w:iCs/>
        </w:rPr>
        <w:t>Frammenti dell'anarchismo italiano. 1944-1946</w:t>
      </w:r>
      <w:r>
        <w:rPr>
          <w:rFonts w:cs="Tahoma" w:ascii="Arial Narrow" w:hAnsi="Arial Narrow"/>
        </w:rPr>
        <w:t>, Pisa, ETS, 2011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b/>
          <w:b/>
          <w:bCs/>
          <w:lang w:eastAsia="ar-SA"/>
        </w:rPr>
      </w:pPr>
      <w:r>
        <w:rPr>
          <w:rFonts w:eastAsia="Times New Roman" w:ascii="Arial Narrow" w:hAnsi="Arial Narrow"/>
          <w:b/>
          <w:bCs/>
          <w:lang w:eastAsia="ar-SA"/>
        </w:rPr>
        <w:t>Pubblicazioni in volumi: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1</w:t>
      </w:r>
      <w:r>
        <w:rPr>
          <w:rFonts w:eastAsia="Times New Roman" w:ascii="Arial Narrow" w:hAnsi="Arial Narrow"/>
          <w:i/>
          <w:iCs/>
          <w:lang w:eastAsia="ar-SA"/>
        </w:rPr>
        <w:t>. Sonnino, Mosca e la rappresentanza politica,</w:t>
      </w:r>
      <w:r>
        <w:rPr>
          <w:rFonts w:eastAsia="Times New Roman" w:ascii="Arial Narrow" w:hAnsi="Arial Narrow"/>
          <w:lang w:eastAsia="ar-SA"/>
        </w:rPr>
        <w:t xml:space="preserve"> in </w:t>
      </w:r>
      <w:r>
        <w:rPr>
          <w:rFonts w:eastAsia="Times New Roman" w:ascii="Arial Narrow" w:hAnsi="Arial Narrow"/>
          <w:i/>
          <w:iCs/>
          <w:lang w:eastAsia="ar-SA"/>
        </w:rPr>
        <w:t>Sidney Sonnino e il suo tempo</w:t>
      </w:r>
      <w:r>
        <w:rPr>
          <w:rFonts w:eastAsia="Times New Roman" w:ascii="Arial Narrow" w:hAnsi="Arial Narrow"/>
          <w:lang w:eastAsia="ar-SA"/>
        </w:rPr>
        <w:t xml:space="preserve">, I, a cura di P. L. Ballini, Firenze, Olschki, 2000, pp. 369-381.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i/>
          <w:iCs/>
          <w:lang w:eastAsia="ar-SA"/>
        </w:rPr>
        <w:t>2.</w:t>
      </w:r>
      <w:r>
        <w:rPr>
          <w:rFonts w:eastAsia="Times New Roman" w:ascii="Arial Narrow" w:hAnsi="Arial Narrow"/>
          <w:i/>
          <w:iCs/>
          <w:color w:val="FF6600"/>
          <w:lang w:eastAsia="ar-SA"/>
        </w:rPr>
        <w:t>.</w:t>
      </w:r>
      <w:r>
        <w:rPr>
          <w:rFonts w:eastAsia="Times New Roman" w:ascii="Arial Narrow" w:hAnsi="Arial Narrow"/>
          <w:i/>
          <w:iCs/>
          <w:lang w:eastAsia="ar-SA"/>
        </w:rPr>
        <w:t xml:space="preserve"> Governo locale senza suffragio. Questioni amministrative nella stampa moderata di fine secolo</w:t>
      </w:r>
      <w:r>
        <w:rPr>
          <w:rFonts w:eastAsia="Times New Roman" w:ascii="Arial Narrow" w:hAnsi="Arial Narrow"/>
          <w:lang w:eastAsia="ar-SA"/>
        </w:rPr>
        <w:t xml:space="preserve"> in </w:t>
      </w:r>
      <w:r>
        <w:rPr>
          <w:rFonts w:eastAsia="Times New Roman" w:ascii="Arial Narrow" w:hAnsi="Arial Narrow"/>
          <w:i/>
          <w:iCs/>
          <w:lang w:eastAsia="ar-SA"/>
        </w:rPr>
        <w:t>Ceti dirigenti municipali in Italia e in Europa in età moderna e contemporanea</w:t>
      </w:r>
      <w:r>
        <w:rPr>
          <w:rFonts w:eastAsia="Times New Roman" w:ascii="Arial Narrow" w:hAnsi="Arial Narrow"/>
          <w:lang w:eastAsia="ar-SA"/>
        </w:rPr>
        <w:t>, Pisa, ETS, 2003, pp. 285-312.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3. </w:t>
      </w:r>
      <w:r>
        <w:rPr>
          <w:rFonts w:eastAsia="Times New Roman" w:ascii="Arial Narrow" w:hAnsi="Arial Narrow"/>
          <w:i/>
          <w:iCs/>
          <w:lang w:eastAsia="ar-SA"/>
        </w:rPr>
        <w:t>Fortune e sventure di un funzionario fedele: Luigi Cambray-Digny commendatore di grazia</w:t>
      </w:r>
      <w:r>
        <w:rPr>
          <w:rFonts w:eastAsia="Times New Roman" w:ascii="Arial Narrow" w:hAnsi="Arial Narrow"/>
          <w:lang w:eastAsia="ar-SA"/>
        </w:rPr>
        <w:t xml:space="preserve"> in </w:t>
      </w:r>
      <w:r>
        <w:rPr>
          <w:rFonts w:eastAsia="Times New Roman" w:ascii="Arial Narrow" w:hAnsi="Arial Narrow"/>
          <w:i/>
          <w:iCs/>
          <w:lang w:eastAsia="ar-SA"/>
        </w:rPr>
        <w:t>La Commenda di Grazia dell’Ordine di Santo Stefano nell’Ottocento</w:t>
      </w:r>
      <w:r>
        <w:rPr>
          <w:rFonts w:eastAsia="Times New Roman" w:ascii="Arial Narrow" w:hAnsi="Arial Narrow"/>
          <w:lang w:eastAsia="ar-SA"/>
        </w:rPr>
        <w:t>, Pisa, ETS, 2003, pp. 57- 64.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iCs/>
          <w:lang w:eastAsia="ar-SA"/>
        </w:rPr>
        <w:t>4</w:t>
      </w:r>
      <w:r>
        <w:rPr>
          <w:rFonts w:eastAsia="Times New Roman" w:ascii="Arial Narrow" w:hAnsi="Arial Narrow"/>
          <w:i/>
          <w:iCs/>
          <w:lang w:eastAsia="ar-SA"/>
        </w:rPr>
        <w:t>. La pedagogia dell’esempio: la fatica delle cave e le passioni della montagna</w:t>
      </w:r>
      <w:r>
        <w:rPr>
          <w:rFonts w:eastAsia="Times New Roman" w:ascii="Arial Narrow" w:hAnsi="Arial Narrow"/>
          <w:lang w:eastAsia="ar-SA"/>
        </w:rPr>
        <w:t xml:space="preserve">, in </w:t>
      </w:r>
      <w:r>
        <w:rPr>
          <w:rFonts w:eastAsia="Times New Roman" w:ascii="Arial Narrow" w:hAnsi="Arial Narrow"/>
          <w:i/>
          <w:iCs/>
          <w:lang w:eastAsia="ar-SA"/>
        </w:rPr>
        <w:t>L’Immagine di Carrara. Mito usi simbolici pedagogie del marmo nell’Ottocento</w:t>
      </w:r>
      <w:r>
        <w:rPr>
          <w:rFonts w:eastAsia="Times New Roman" w:ascii="Arial Narrow" w:hAnsi="Arial Narrow"/>
          <w:lang w:eastAsia="ar-SA"/>
        </w:rPr>
        <w:t>, Carrara, 2004, pp. 61-96.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5. </w:t>
      </w:r>
      <w:r>
        <w:rPr>
          <w:rFonts w:eastAsia="Times New Roman" w:ascii="Arial Narrow" w:hAnsi="Arial Narrow"/>
          <w:i/>
          <w:iCs/>
          <w:lang w:eastAsia="ar-SA"/>
        </w:rPr>
        <w:t>Editori, autori e eruditi alle prese con una giovane e intraprendente scrittrice. Note sulle corrispondenze fiorentine di Vernon Lee</w:t>
      </w:r>
      <w:r>
        <w:rPr>
          <w:rFonts w:eastAsia="Times New Roman" w:ascii="Arial Narrow" w:hAnsi="Arial Narrow"/>
          <w:lang w:eastAsia="ar-SA"/>
        </w:rPr>
        <w:t xml:space="preserve">, in </w:t>
      </w:r>
      <w:r>
        <w:rPr>
          <w:rFonts w:eastAsia="Times New Roman" w:ascii="Arial Narrow" w:hAnsi="Arial Narrow"/>
          <w:i/>
          <w:iCs/>
          <w:lang w:eastAsia="ar-SA"/>
        </w:rPr>
        <w:t>‘Dalla stanza accanto’. Vernon Lee a Firenze settant’anni</w:t>
      </w:r>
      <w:r>
        <w:rPr>
          <w:rFonts w:eastAsia="Times New Roman" w:ascii="Arial Narrow" w:hAnsi="Arial Narrow"/>
          <w:lang w:eastAsia="ar-SA"/>
        </w:rPr>
        <w:t xml:space="preserve">. </w:t>
      </w:r>
      <w:r>
        <w:rPr>
          <w:rFonts w:eastAsia="Times New Roman" w:ascii="Arial Narrow" w:hAnsi="Arial Narrow"/>
          <w:i/>
          <w:iCs/>
          <w:lang w:eastAsia="ar-SA"/>
        </w:rPr>
        <w:t>Atti del convegno internazionale di studi, Firenze 26-28 maggio 2005</w:t>
      </w:r>
      <w:r>
        <w:rPr>
          <w:rFonts w:eastAsia="Times New Roman" w:ascii="Arial Narrow" w:hAnsi="Arial Narrow"/>
          <w:lang w:eastAsia="ar-SA"/>
        </w:rPr>
        <w:t>, a cura di Serena Cenni e Elisa Bizzotto, Firenze, 2006, pp. 82-106.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iCs/>
          <w:lang w:eastAsia="ar-SA"/>
        </w:rPr>
        <w:t xml:space="preserve">6. </w:t>
      </w:r>
      <w:r>
        <w:rPr>
          <w:rFonts w:eastAsia="Times New Roman" w:ascii="Arial Narrow" w:hAnsi="Arial Narrow"/>
          <w:i/>
          <w:lang w:eastAsia="ar-SA"/>
        </w:rPr>
        <w:t>Aquarone e l’Italia giolittiana: appunti di lettura storiografica</w:t>
      </w:r>
      <w:r>
        <w:rPr>
          <w:rFonts w:eastAsia="Times New Roman" w:ascii="Arial Narrow" w:hAnsi="Arial Narrow"/>
          <w:i/>
          <w:iCs/>
          <w:lang w:eastAsia="ar-SA"/>
        </w:rPr>
        <w:t xml:space="preserve">, </w:t>
      </w:r>
      <w:r>
        <w:rPr>
          <w:rFonts w:eastAsia="Times New Roman" w:ascii="Arial Narrow" w:hAnsi="Arial Narrow"/>
          <w:lang w:eastAsia="ar-SA"/>
        </w:rPr>
        <w:t>in</w:t>
      </w:r>
      <w:r>
        <w:rPr>
          <w:rFonts w:eastAsia="Times New Roman" w:ascii="Arial Narrow" w:hAnsi="Arial Narrow"/>
          <w:i/>
          <w:iCs/>
          <w:lang w:eastAsia="ar-SA"/>
        </w:rPr>
        <w:t xml:space="preserve"> In ricordo di Alberto Aquarone. Seminario di studio, Pisa 21-22 settembre 2006</w:t>
      </w:r>
      <w:r>
        <w:rPr>
          <w:rFonts w:eastAsia="Times New Roman" w:ascii="Arial Narrow" w:hAnsi="Arial Narrow"/>
          <w:lang w:eastAsia="ar-SA"/>
        </w:rPr>
        <w:t xml:space="preserve">, Pisa, Plus, 2008, pp. 31-43 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>7.</w:t>
      </w:r>
      <w:r>
        <w:rPr>
          <w:rFonts w:eastAsia="Times New Roman" w:ascii="Arial Narrow" w:hAnsi="Arial Narrow"/>
          <w:i/>
          <w:iCs/>
          <w:lang w:eastAsia="ar-SA"/>
        </w:rPr>
        <w:t xml:space="preserve"> Saverio Scolari e l’insegnamento del diritto costituzionale all’Università di Pisa</w:t>
      </w:r>
      <w:r>
        <w:rPr>
          <w:rFonts w:eastAsia="Times New Roman" w:ascii="Arial Narrow" w:hAnsi="Arial Narrow"/>
          <w:lang w:eastAsia="ar-SA"/>
        </w:rPr>
        <w:t xml:space="preserve">, in </w:t>
      </w:r>
      <w:r>
        <w:rPr>
          <w:rFonts w:eastAsia="Times New Roman" w:ascii="Arial Narrow" w:hAnsi="Arial Narrow"/>
          <w:i/>
          <w:lang w:eastAsia="ar-SA"/>
        </w:rPr>
        <w:t xml:space="preserve">La storia delle Università alle soglie del XXI secolo. La ricerca dei giovani studiosi tra fonti e nuovi percorsi di indagine. Atti del convegno internazionale di studi. Aosta, 18-20 dicembre 2006, </w:t>
      </w:r>
      <w:r>
        <w:rPr>
          <w:rFonts w:eastAsia="Times New Roman" w:ascii="Arial Narrow" w:hAnsi="Arial Narrow"/>
          <w:lang w:eastAsia="ar-SA"/>
        </w:rPr>
        <w:t>a cura di Paolo Gheda, Maria Teresa Guerrini, Simona Negruzzo, Simona Salustri, Bologna, Clueb, 2008, pp. 157-161.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8. </w:t>
      </w:r>
      <w:r>
        <w:rPr>
          <w:rFonts w:eastAsia="Times New Roman" w:ascii="Arial Narrow" w:hAnsi="Arial Narrow"/>
          <w:i/>
          <w:iCs/>
          <w:lang w:eastAsia="ar-SA"/>
        </w:rPr>
        <w:t xml:space="preserve">Al di là delle stanze. Note storiografiche su donne di palazzo e potere in età moderna </w:t>
      </w:r>
      <w:r>
        <w:rPr>
          <w:rFonts w:eastAsia="Times New Roman" w:ascii="Arial Narrow" w:hAnsi="Arial Narrow"/>
          <w:lang w:eastAsia="ar-SA"/>
        </w:rPr>
        <w:t>in</w:t>
      </w:r>
      <w:r>
        <w:rPr>
          <w:rFonts w:eastAsia="Times New Roman" w:ascii="Arial Narrow" w:hAnsi="Arial Narrow"/>
          <w:i/>
          <w:iCs/>
          <w:lang w:eastAsia="ar-SA"/>
        </w:rPr>
        <w:t xml:space="preserve"> Nobildonne, monache e cavaliere di S. Stefano. Modelli e strategie femminili nella vita pubblica della Toscana granducale</w:t>
      </w:r>
      <w:r>
        <w:rPr>
          <w:rFonts w:eastAsia="Times New Roman" w:ascii="Arial Narrow" w:hAnsi="Arial Narrow"/>
          <w:lang w:eastAsia="ar-SA"/>
        </w:rPr>
        <w:t xml:space="preserve"> a cura di Marcella Aglietti e con postfazione di Gabriella Zarri, Pisa, ETS, 2009, pp. 121-132.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9.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>Note su Sonnino ministro degli esteri nella stampa britannica, statunitense e francese</w:t>
      </w:r>
      <w:r>
        <w:rPr>
          <w:rFonts w:eastAsia="Times New Roman" w:ascii="Arial Narrow" w:hAnsi="Arial Narrow"/>
          <w:szCs w:val="20"/>
          <w:lang w:eastAsia="ar-SA"/>
        </w:rPr>
        <w:t xml:space="preserve">, in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Sonnino e il suo tempo (1914-1922) </w:t>
      </w:r>
      <w:r>
        <w:rPr>
          <w:rFonts w:eastAsia="Times New Roman" w:ascii="Arial Narrow" w:hAnsi="Arial Narrow"/>
          <w:szCs w:val="20"/>
          <w:lang w:eastAsia="ar-SA"/>
        </w:rPr>
        <w:t>a cura di Pier Luigi Ballini, Soveria Mannelli, Rubettino, 2011, pp. 101-115.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10. </w:t>
      </w:r>
      <w:r>
        <w:rPr>
          <w:rFonts w:eastAsia="Times New Roman" w:ascii="Arial Narrow" w:hAnsi="Arial Narrow"/>
          <w:i/>
          <w:iCs/>
          <w:lang w:eastAsia="ar-SA"/>
        </w:rPr>
        <w:t>Il Risorgimento degli anarchici italiani (1944-1946)</w:t>
      </w:r>
      <w:r>
        <w:rPr>
          <w:rFonts w:eastAsia="Times New Roman" w:ascii="Arial Narrow" w:hAnsi="Arial Narrow"/>
          <w:lang w:eastAsia="ar-SA"/>
        </w:rPr>
        <w:t xml:space="preserve">, in </w:t>
      </w:r>
      <w:r>
        <w:rPr>
          <w:rFonts w:eastAsia="Times New Roman" w:ascii="Arial Narrow" w:hAnsi="Arial Narrow"/>
          <w:i/>
          <w:iCs/>
          <w:lang w:eastAsia="ar-SA"/>
        </w:rPr>
        <w:t>Quale Risorgimento? Interpretazioni a confronto tra fascismo, Resistenza e nascita della Repubblica</w:t>
      </w:r>
      <w:r>
        <w:rPr>
          <w:rFonts w:eastAsia="Times New Roman" w:ascii="Arial Narrow" w:hAnsi="Arial Narrow"/>
          <w:lang w:eastAsia="ar-SA"/>
        </w:rPr>
        <w:t xml:space="preserve"> a cura di Carmelo Calabrò e Mauro Lenci, Pisa, ETS, 2013.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 xml:space="preserve">11.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>The Reception of Thomas Moore in Italy in the Nineteenth Century</w:t>
      </w:r>
      <w:r>
        <w:rPr>
          <w:rFonts w:eastAsia="Times New Roman" w:ascii="Arial Narrow" w:hAnsi="Arial Narrow"/>
          <w:szCs w:val="20"/>
          <w:lang w:eastAsia="ar-SA"/>
        </w:rPr>
        <w:t xml:space="preserve">, in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Nation/Nazione. Irish Nationalism and the Italian Risorgimento </w:t>
      </w:r>
      <w:r>
        <w:rPr>
          <w:rFonts w:eastAsia="Times New Roman" w:ascii="Arial Narrow" w:hAnsi="Arial Narrow"/>
          <w:szCs w:val="20"/>
          <w:lang w:eastAsia="ar-SA"/>
        </w:rPr>
        <w:t>edited by Colin Barr, Michele Finelli and Anne O' Connor, Dublin, University College Dublin Press, 2014, pp. 193-205.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  <w:t xml:space="preserve">12. </w:t>
      </w:r>
      <w:r>
        <w:rPr>
          <w:rFonts w:eastAsia="Times New Roman" w:ascii="Arial Narrow" w:hAnsi="Arial Narrow"/>
          <w:i/>
          <w:lang w:eastAsia="ar-SA"/>
        </w:rPr>
        <w:t>Parma</w:t>
      </w:r>
      <w:r>
        <w:rPr>
          <w:rFonts w:eastAsia="Times New Roman" w:ascii="Arial Narrow" w:hAnsi="Arial Narrow"/>
          <w:lang w:eastAsia="ar-SA"/>
        </w:rPr>
        <w:t xml:space="preserve">, in </w:t>
      </w:r>
      <w:r>
        <w:rPr>
          <w:rFonts w:eastAsia="Times New Roman" w:ascii="Arial Narrow" w:hAnsi="Arial Narrow"/>
          <w:i/>
          <w:lang w:eastAsia="ar-SA"/>
        </w:rPr>
        <w:t>Abbasso la guerra. Neutralisti in piazza alla vigilia della Prima guerra mondiale in Italia</w:t>
      </w:r>
      <w:r>
        <w:rPr>
          <w:rFonts w:eastAsia="Times New Roman" w:ascii="Arial Narrow" w:hAnsi="Arial Narrow"/>
          <w:lang w:eastAsia="ar-SA"/>
        </w:rPr>
        <w:t xml:space="preserve"> a cura di Fulvio Cammarano, Firenze, Le Monnier, 2015, pp. 345-356.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bCs/>
          <w:lang w:eastAsia="ar-SA"/>
        </w:rPr>
      </w:pPr>
      <w:r>
        <w:rPr>
          <w:rFonts w:eastAsia="Times New Roman" w:ascii="Arial Narrow" w:hAnsi="Arial Narrow"/>
          <w:bCs/>
          <w:lang w:eastAsia="ar-SA"/>
        </w:rPr>
        <w:t xml:space="preserve">13. </w:t>
      </w:r>
      <w:r>
        <w:rPr>
          <w:rFonts w:eastAsia="Times New Roman" w:ascii="Arial Narrow" w:hAnsi="Arial Narrow"/>
          <w:bCs/>
          <w:i/>
          <w:lang w:eastAsia="ar-SA"/>
        </w:rPr>
        <w:t>Assenze. Giovani anarchici negli anni Cinquanta</w:t>
      </w:r>
      <w:r>
        <w:rPr>
          <w:rFonts w:eastAsia="Times New Roman" w:ascii="Arial Narrow" w:hAnsi="Arial Narrow"/>
          <w:bCs/>
          <w:lang w:eastAsia="ar-SA"/>
        </w:rPr>
        <w:t xml:space="preserve">, in </w:t>
      </w:r>
      <w:r>
        <w:rPr>
          <w:rFonts w:eastAsia="Times New Roman" w:ascii="Arial Narrow" w:hAnsi="Arial Narrow"/>
          <w:bCs/>
          <w:i/>
          <w:lang w:eastAsia="ar-SA"/>
        </w:rPr>
        <w:t>L’anarchismo italiano. Storia e storiografia</w:t>
      </w:r>
      <w:r>
        <w:rPr>
          <w:rFonts w:eastAsia="Times New Roman" w:ascii="Arial Narrow" w:hAnsi="Arial Narrow"/>
          <w:bCs/>
          <w:lang w:eastAsia="ar-SA"/>
        </w:rPr>
        <w:t xml:space="preserve"> a cura di Giampietro Berti e Carlo De Maria, Milano, Biblion, 2016, pp. 179-191.</w:t>
      </w:r>
    </w:p>
    <w:p>
      <w:pPr>
        <w:pStyle w:val="Normal"/>
        <w:tabs>
          <w:tab w:val="left" w:pos="220" w:leader="none"/>
          <w:tab w:val="left" w:pos="720" w:leader="none"/>
        </w:tabs>
        <w:suppressAutoHyphens w:val="false"/>
        <w:spacing w:lineRule="auto" w:line="360" w:before="0" w:after="240"/>
        <w:rPr>
          <w:rFonts w:ascii="Arial Narrow" w:hAnsi="Arial Narrow" w:eastAsia="Times New Roman" w:cs="Times"/>
        </w:rPr>
      </w:pPr>
      <w:r>
        <w:rPr>
          <w:rFonts w:eastAsia="Times New Roman" w:ascii="Arial Narrow" w:hAnsi="Arial Narrow"/>
          <w:bCs/>
          <w:lang w:eastAsia="ar-SA"/>
        </w:rPr>
        <w:t xml:space="preserve">14. </w:t>
      </w:r>
      <w:r>
        <w:rPr>
          <w:rFonts w:eastAsia="Times New Roman" w:cs="Times" w:ascii="Arial Narrow" w:hAnsi="Arial Narrow"/>
          <w:i/>
        </w:rPr>
        <w:t>Il pane e la pace. La protesta delle donne contro la guerra</w:t>
      </w:r>
      <w:r>
        <w:rPr>
          <w:rFonts w:eastAsia="Times New Roman" w:cs="Times" w:ascii="Times" w:hAnsi="Times"/>
          <w:sz w:val="30"/>
          <w:szCs w:val="30"/>
        </w:rPr>
        <w:t xml:space="preserve"> </w:t>
      </w:r>
      <w:r>
        <w:rPr>
          <w:rFonts w:eastAsia="Times New Roman" w:cs="Times" w:ascii="Arial Narrow" w:hAnsi="Arial Narrow"/>
        </w:rPr>
        <w:t>in</w:t>
      </w:r>
      <w:r>
        <w:rPr>
          <w:rFonts w:eastAsia="Times New Roman" w:cs="Times" w:ascii="Times" w:hAnsi="Times"/>
          <w:sz w:val="30"/>
          <w:szCs w:val="30"/>
        </w:rPr>
        <w:t xml:space="preserve"> </w:t>
      </w:r>
      <w:r>
        <w:rPr>
          <w:rFonts w:eastAsia="Times New Roman" w:cs="Times" w:ascii="Arial Narrow" w:hAnsi="Arial Narrow"/>
          <w:i/>
        </w:rPr>
        <w:t>I segni della guerra. Pisa 1915-1918: città e territorio nel primo conflitto mondiale</w:t>
      </w:r>
      <w:bookmarkStart w:id="0" w:name="_GoBack"/>
      <w:bookmarkEnd w:id="0"/>
      <w:r>
        <w:rPr>
          <w:rFonts w:eastAsia="Times New Roman" w:cs="Times" w:ascii="Arial Narrow" w:hAnsi="Arial Narrow"/>
        </w:rPr>
        <w:t xml:space="preserve"> a cura di Antonio Gibelli, Gian Luca Fruci, Carlo Stiaccini, Pisa, Edizioni ETS, 2016, pp. 144-151. </w:t>
      </w:r>
    </w:p>
    <w:p>
      <w:pPr>
        <w:pStyle w:val="Normal"/>
        <w:tabs>
          <w:tab w:val="left" w:pos="220" w:leader="none"/>
          <w:tab w:val="left" w:pos="720" w:leader="none"/>
        </w:tabs>
        <w:suppressAutoHyphens w:val="false"/>
        <w:spacing w:lineRule="auto" w:line="360" w:before="0" w:after="240"/>
        <w:jc w:val="both"/>
        <w:rPr>
          <w:rFonts w:ascii="Arial Narrow" w:hAnsi="Arial Narrow" w:eastAsia="Times New Roman" w:cs="Times"/>
        </w:rPr>
      </w:pPr>
      <w:r>
        <w:rPr>
          <w:rFonts w:eastAsia="Times New Roman" w:cs="Times" w:ascii="Arial Narrow" w:hAnsi="Arial Narrow"/>
        </w:rPr>
        <w:t xml:space="preserve">15. </w:t>
      </w:r>
      <w:r>
        <w:rPr>
          <w:rFonts w:eastAsia="Times New Roman" w:cs="Times" w:ascii="Arial Narrow" w:hAnsi="Arial Narrow"/>
          <w:i/>
        </w:rPr>
        <w:t>Un polic(t)man? Il liberalismo umanitario di Gaetano Meale</w:t>
      </w:r>
      <w:r>
        <w:rPr>
          <w:rFonts w:eastAsia="Times New Roman" w:cs="Times" w:ascii="Arial Narrow" w:hAnsi="Arial Narrow"/>
        </w:rPr>
        <w:t xml:space="preserve"> in </w:t>
      </w:r>
      <w:r>
        <w:rPr>
          <w:rFonts w:eastAsia="Times New Roman" w:cs="Times" w:ascii="Arial Narrow" w:hAnsi="Arial Narrow"/>
          <w:i/>
        </w:rPr>
        <w:t>Cittadinanze nella storia dello Stato contemporaneo</w:t>
      </w:r>
      <w:r>
        <w:rPr>
          <w:rFonts w:eastAsia="Times New Roman" w:cs="Times" w:ascii="Arial Narrow" w:hAnsi="Arial Narrow"/>
        </w:rPr>
        <w:t xml:space="preserve"> a cura di Marcella Aglietti, Carmelo Calabrò, Milano, Franco Angeli,, 2017, pp. 137-150.</w:t>
      </w:r>
    </w:p>
    <w:p>
      <w:pPr>
        <w:pStyle w:val="Normal"/>
        <w:tabs>
          <w:tab w:val="left" w:pos="220" w:leader="none"/>
          <w:tab w:val="left" w:pos="720" w:leader="none"/>
        </w:tabs>
        <w:suppressAutoHyphens w:val="false"/>
        <w:spacing w:lineRule="auto" w:line="360" w:before="0" w:after="240"/>
        <w:rPr>
          <w:rFonts w:ascii="Arial Narrow" w:hAnsi="Arial Narrow" w:eastAsia="Times New Roman" w:cs="Times"/>
        </w:rPr>
      </w:pPr>
      <w:r>
        <w:rPr>
          <w:rFonts w:eastAsia="Times New Roman" w:cs="Times" w:ascii="Arial Narrow" w:hAnsi="Arial Narrow"/>
        </w:rPr>
      </w:r>
    </w:p>
    <w:p>
      <w:pPr>
        <w:pStyle w:val="Normal"/>
        <w:tabs>
          <w:tab w:val="left" w:pos="220" w:leader="none"/>
          <w:tab w:val="left" w:pos="720" w:leader="none"/>
        </w:tabs>
        <w:suppressAutoHyphens w:val="false"/>
        <w:spacing w:before="0" w:after="240"/>
        <w:rPr>
          <w:rFonts w:ascii="Arial Narrow" w:hAnsi="Arial Narrow" w:eastAsia="Times New Roman" w:cs="Times"/>
        </w:rPr>
      </w:pPr>
      <w:r>
        <w:rPr>
          <w:rFonts w:eastAsia="Times New Roman" w:cs="Times" w:ascii="Arial Narrow" w:hAnsi="Arial Narrow"/>
        </w:rPr>
      </w:r>
    </w:p>
    <w:p>
      <w:pPr>
        <w:pStyle w:val="Normal"/>
        <w:jc w:val="both"/>
        <w:rPr>
          <w:rFonts w:ascii="Arial Narrow" w:hAnsi="Arial Narrow" w:eastAsia="Times New Roman"/>
          <w:bCs/>
          <w:lang w:eastAsia="ar-SA"/>
        </w:rPr>
      </w:pPr>
      <w:r>
        <w:rPr>
          <w:rFonts w:eastAsia="Times New Roman" w:ascii="Arial Narrow" w:hAnsi="Arial Narrow"/>
          <w:bCs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b/>
          <w:b/>
          <w:bCs/>
          <w:szCs w:val="20"/>
          <w:lang w:eastAsia="ar-SA"/>
        </w:rPr>
      </w:pPr>
      <w:r>
        <w:rPr>
          <w:rFonts w:eastAsia="Times New Roman" w:ascii="Arial Narrow" w:hAnsi="Arial Narrow"/>
          <w:b/>
          <w:bCs/>
          <w:szCs w:val="20"/>
          <w:lang w:eastAsia="ar-SA"/>
        </w:rPr>
        <w:t xml:space="preserve">Pubblicazioni in riviste </w:t>
      </w:r>
    </w:p>
    <w:p>
      <w:pPr>
        <w:pStyle w:val="Normal"/>
        <w:spacing w:lineRule="auto" w:line="360"/>
        <w:jc w:val="both"/>
        <w:rPr>
          <w:rFonts w:cs="Tahoma"/>
        </w:rPr>
      </w:pPr>
      <w:r>
        <w:rPr>
          <w:rFonts w:cs="Tahom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1.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Accademismo, controllo sociale e linguaggi della politica: le associazioni a Pisa nella prima metà dell’Ottocento</w:t>
      </w:r>
      <w:r>
        <w:rPr>
          <w:rFonts w:eastAsia="Times New Roman" w:ascii="Arial Narrow" w:hAnsi="Arial Narrow"/>
          <w:szCs w:val="20"/>
          <w:lang w:eastAsia="ar-SA"/>
        </w:rPr>
        <w:t>, in “Rassegna Storica Toscana”, n. 2, luglio-dicembre 2000, pp. 459-487.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i/>
          <w:i/>
          <w:iCs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2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>. I primi tempi del Consiglio superiore del lavoro (1904-1905): le posizioni di Sidney Sonnino</w:t>
      </w:r>
      <w:r>
        <w:rPr>
          <w:rFonts w:eastAsia="Times New Roman" w:ascii="Arial Narrow" w:hAnsi="Arial Narrow"/>
          <w:szCs w:val="20"/>
          <w:lang w:eastAsia="ar-SA"/>
        </w:rPr>
        <w:t>, “Rassegna Storica Toscana”, n. 2, luglio-dicembre 2001, pp. 379-417.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3.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Premesse storiografiche per un’analisi della sociabilità a Massa e Carrara</w:t>
      </w:r>
      <w:r>
        <w:rPr>
          <w:rFonts w:eastAsia="Times New Roman" w:ascii="Arial Narrow" w:hAnsi="Arial Narrow"/>
          <w:szCs w:val="20"/>
          <w:lang w:eastAsia="ar-SA"/>
        </w:rPr>
        <w:t>,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</w:t>
      </w:r>
      <w:r>
        <w:rPr>
          <w:rFonts w:eastAsia="Times New Roman" w:ascii="Arial Narrow" w:hAnsi="Arial Narrow"/>
          <w:szCs w:val="20"/>
          <w:lang w:eastAsia="ar-SA"/>
        </w:rPr>
        <w:t xml:space="preserve">“Rassegna Storica Toscana”, n. 2, luglio-dicembre 2003, pp. 193-208. 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4.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Note sonniniane</w:t>
      </w:r>
      <w:r>
        <w:rPr>
          <w:rFonts w:eastAsia="Times New Roman" w:ascii="Arial Narrow" w:hAnsi="Arial Narrow"/>
          <w:szCs w:val="20"/>
          <w:lang w:eastAsia="ar-SA"/>
        </w:rPr>
        <w:t>, “Storia e Futuro”, n. 7, luglio 2005, pp. 1-17.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 xml:space="preserve">5.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Corrispondenza dall’Italia: Angelo De Gubernatis e la «Contemporary Review», </w:t>
      </w:r>
      <w:r>
        <w:rPr>
          <w:rFonts w:eastAsia="Times New Roman" w:ascii="Arial Narrow" w:hAnsi="Arial Narrow"/>
          <w:szCs w:val="20"/>
          <w:lang w:eastAsia="ar-SA"/>
        </w:rPr>
        <w:t>“Antologia Vieusseux”, n. 34, gennaio-aprile 2006, pp. 31-60.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6.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 Note storiografiche</w:t>
      </w:r>
      <w:r>
        <w:rPr>
          <w:rFonts w:eastAsia="Times New Roman" w:ascii="Arial Narrow" w:hAnsi="Arial Narrow"/>
          <w:szCs w:val="20"/>
          <w:lang w:eastAsia="ar-SA"/>
        </w:rPr>
        <w:t>, “Quaderni Sidney Sonnino per la Storia dell'Italia Contemporanea”, I (2008), pp. 153-194.</w:t>
      </w:r>
    </w:p>
    <w:p>
      <w:pPr>
        <w:pStyle w:val="Normal"/>
        <w:spacing w:lineRule="auto" w:line="360"/>
        <w:jc w:val="both"/>
        <w:rPr>
          <w:rFonts w:ascii="Arial Narrow" w:hAnsi="Arial Narrow" w:cs="Tahoma"/>
        </w:rPr>
      </w:pPr>
      <w:r>
        <w:rPr>
          <w:rFonts w:eastAsia="Times New Roman" w:ascii="Arial Narrow" w:hAnsi="Arial Narrow"/>
          <w:szCs w:val="20"/>
          <w:lang w:eastAsia="ar-SA"/>
        </w:rPr>
        <w:t xml:space="preserve">7. </w:t>
      </w:r>
      <w:r>
        <w:rPr>
          <w:rFonts w:cs="Tahoma" w:ascii="Arial Narrow" w:hAnsi="Arial Narrow"/>
        </w:rPr>
        <w:t xml:space="preserve">(con A. Breccia) </w:t>
      </w:r>
      <w:r>
        <w:rPr>
          <w:rFonts w:cs="Tahoma" w:ascii="Arial Narrow" w:hAnsi="Arial Narrow"/>
          <w:i/>
          <w:iCs/>
        </w:rPr>
        <w:t>Carrara città 'sospesa'. L'azione delle forze antifasciste prima della Liberazione (1944-1945)</w:t>
      </w:r>
      <w:r>
        <w:rPr>
          <w:rFonts w:cs="Tahoma" w:ascii="Arial Narrow" w:hAnsi="Arial Narrow"/>
        </w:rPr>
        <w:t>, in «Annali della Fondazione Ugo La Malfa», XXV (2010), pp. 363-395.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 xml:space="preserve">8. </w:t>
      </w:r>
      <w:r>
        <w:rPr>
          <w:rFonts w:eastAsia="Times New Roman" w:ascii="Arial Narrow" w:hAnsi="Arial Narrow"/>
          <w:i/>
          <w:iCs/>
          <w:szCs w:val="20"/>
          <w:lang w:eastAsia="ar-SA"/>
        </w:rPr>
        <w:t xml:space="preserve">Gli anarchici nella crisi di fine '800. L'attività di Pietro Gori in difesa della libertà, </w:t>
      </w:r>
      <w:r>
        <w:rPr>
          <w:rFonts w:eastAsia="Times New Roman" w:ascii="Arial Narrow" w:hAnsi="Arial Narrow"/>
          <w:szCs w:val="20"/>
          <w:lang w:eastAsia="ar-SA"/>
        </w:rPr>
        <w:t>“Storia e Futuro”, n. 26, giugno 2011, pp. 1-24.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 xml:space="preserve">9. </w:t>
      </w:r>
      <w:r>
        <w:rPr>
          <w:rFonts w:eastAsia="Times New Roman" w:ascii="Arial Narrow" w:hAnsi="Arial Narrow"/>
          <w:i/>
          <w:szCs w:val="20"/>
          <w:lang w:eastAsia="ar-SA"/>
        </w:rPr>
        <w:t>Riflessioni sul seminario “Metodi e temi della storiografia sull’anarchismo”</w:t>
      </w:r>
      <w:r>
        <w:rPr>
          <w:rFonts w:eastAsia="Times New Roman" w:ascii="Arial Narrow" w:hAnsi="Arial Narrow"/>
          <w:szCs w:val="20"/>
          <w:lang w:eastAsia="ar-SA"/>
        </w:rPr>
        <w:t>, “Italia contemporanea”, n. 275, agosto, 2014, pp. 372-379.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  <w:t>maggio 2017</w:t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</w:r>
    </w:p>
    <w:p>
      <w:pPr>
        <w:pStyle w:val="Normal"/>
        <w:spacing w:lineRule="auto" w:line="360"/>
        <w:jc w:val="both"/>
        <w:rPr>
          <w:rFonts w:ascii="Arial Narrow" w:hAnsi="Arial Narrow" w:eastAsia="Times New Roman"/>
          <w:szCs w:val="20"/>
          <w:lang w:eastAsia="ar-SA"/>
        </w:rPr>
      </w:pPr>
      <w:r>
        <w:rPr>
          <w:rFonts w:eastAsia="Times New Roman" w:ascii="Arial Narrow" w:hAnsi="Arial Narrow"/>
          <w:szCs w:val="20"/>
          <w:lang w:eastAsia="ar-SA"/>
        </w:rPr>
      </w:r>
    </w:p>
    <w:p>
      <w:pPr>
        <w:pStyle w:val="Normal"/>
        <w:suppressAutoHyphens w:val="false"/>
        <w:spacing w:lineRule="auto" w:line="360" w:before="0" w:after="240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Lista"/>
        <w:numPr>
          <w:ilvl w:val="0"/>
          <w:numId w:val="0"/>
        </w:numPr>
        <w:spacing w:lineRule="auto" w:line="360"/>
        <w:ind w:left="4320" w:hanging="0"/>
        <w:jc w:val="left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Lista"/>
        <w:numPr>
          <w:ilvl w:val="0"/>
          <w:numId w:val="0"/>
        </w:numPr>
        <w:spacing w:lineRule="auto" w:line="360"/>
        <w:ind w:left="0" w:hanging="0"/>
        <w:rPr>
          <w:rFonts w:ascii="Arial Narrow" w:hAnsi="Arial Narrow" w:eastAsia="Times New Roman"/>
          <w:lang w:eastAsia="ar-SA"/>
        </w:rPr>
      </w:pPr>
      <w:r>
        <w:rPr>
          <w:rFonts w:eastAsia="Times New Roman" w:ascii="Arial Narrow" w:hAnsi="Arial Narrow"/>
          <w:lang w:eastAsia="ar-S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1"/>
    <w:family w:val="swiss"/>
    <w:pitch w:val="default"/>
  </w:font>
  <w:font w:name="Times New Roman">
    <w:charset w:val="01"/>
    <w:family w:val="swiss"/>
    <w:pitch w:val="default"/>
  </w:font>
  <w:font w:name="Arial Narrow">
    <w:charset w:val="01"/>
    <w:family w:val="swiss"/>
    <w:pitch w:val="default"/>
  </w:font>
  <w:font w:name="Trebuchet MS">
    <w:charset w:val="01"/>
    <w:family w:val="swiss"/>
    <w:pitch w:val="default"/>
  </w:font>
  <w:font w:name="Times">
    <w:altName w:val="Times New Roman"/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ind w:left="0" w:hanging="0"/>
      </w:pPr>
    </w:lvl>
    <w:lvl w:ilvl="1">
      <w:start w:val="1"/>
      <w:numFmt w:val="decimal"/>
      <w:suff w:val="nothing"/>
      <w:lvlText w:val=""/>
      <w:lvlJc w:val="left"/>
      <w:pPr>
        <w:ind w:left="0" w:hanging="0"/>
      </w:pPr>
    </w:lvl>
    <w:lvl w:ilvl="2">
      <w:start w:val="1"/>
      <w:numFmt w:val="decimal"/>
      <w:suff w:val="nothing"/>
      <w:lvlText w:val=""/>
      <w:lvlJc w:val="left"/>
      <w:pPr>
        <w:ind w:left="0" w:hanging="0"/>
      </w:pPr>
    </w:lvl>
    <w:lvl w:ilvl="3">
      <w:start w:val="1"/>
      <w:numFmt w:val="decimal"/>
      <w:suff w:val="nothing"/>
      <w:lvlText w:val=""/>
      <w:lvlJc w:val="left"/>
      <w:pPr>
        <w:ind w:left="0" w:hanging="0"/>
      </w:pPr>
    </w:lvl>
    <w:lvl w:ilvl="4">
      <w:start w:val="1"/>
      <w:numFmt w:val="decimal"/>
      <w:suff w:val="nothing"/>
      <w:lvlText w:val=""/>
      <w:lvlJc w:val="left"/>
      <w:pPr>
        <w:ind w:left="0" w:hanging="0"/>
      </w:pPr>
    </w:lvl>
    <w:lvl w:ilvl="5">
      <w:start w:val="1"/>
      <w:numFmt w:val="decimal"/>
      <w:suff w:val="nothing"/>
      <w:lvlText w:val=""/>
      <w:lvlJc w:val="left"/>
      <w:pPr>
        <w:ind w:left="0" w:hanging="0"/>
      </w:pPr>
    </w:lvl>
    <w:lvl w:ilvl="6">
      <w:start w:val="1"/>
      <w:numFmt w:val="decimal"/>
      <w:suff w:val="nothing"/>
      <w:lvlText w:val=""/>
      <w:lvlJc w:val="left"/>
      <w:pPr>
        <w:ind w:left="0" w:hanging="0"/>
      </w:pPr>
    </w:lvl>
    <w:lvl w:ilvl="7">
      <w:start w:val="1"/>
      <w:numFmt w:val="decimal"/>
      <w:suff w:val="nothing"/>
      <w:lvlText w:val=""/>
      <w:lvlJc w:val="left"/>
      <w:pPr>
        <w:ind w:left="0" w:hanging="0"/>
      </w:pPr>
    </w:lvl>
    <w:lvl w:ilvl="8">
      <w:start w:val="1"/>
      <w:numFmt w:val="decimal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4"/>
        <w:szCs w:val="24"/>
        <w:lang w:val="it-IT" w:eastAsia="it-IT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b7d"/>
    <w:pPr>
      <w:widowControl w:val="false"/>
      <w:suppressAutoHyphens w:val="true"/>
      <w:bidi w:val="0"/>
      <w:jc w:val="left"/>
    </w:pPr>
    <w:rPr>
      <w:rFonts w:ascii="Times New Roman" w:hAnsi="Times New Roman" w:eastAsia="Arial Unicode MS" w:cs="Times New Roman"/>
      <w:color w:val="auto"/>
      <w:sz w:val="24"/>
      <w:szCs w:val="24"/>
      <w:lang w:val="it-IT" w:eastAsia="it-IT" w:bidi="ar-SA"/>
    </w:rPr>
  </w:style>
  <w:style w:type="paragraph" w:styleId="Titolo1">
    <w:name w:val="Titolo 1"/>
    <w:basedOn w:val="Normal"/>
    <w:link w:val="Titolo1Carattere"/>
    <w:qFormat/>
    <w:rsid w:val="006d0b7d"/>
    <w:pPr>
      <w:keepNext/>
      <w:spacing w:lineRule="auto" w:line="360"/>
      <w:jc w:val="both"/>
      <w:outlineLvl w:val="0"/>
    </w:pPr>
    <w:rPr>
      <w:rFonts w:ascii="Arial Narrow" w:hAnsi="Arial Narrow"/>
      <w:b/>
      <w:bCs/>
      <w:sz w:val="28"/>
    </w:rPr>
  </w:style>
  <w:style w:type="paragraph" w:styleId="Titolo2">
    <w:name w:val="Titolo 2"/>
    <w:basedOn w:val="Normal"/>
    <w:link w:val="Titolo2Carattere"/>
    <w:qFormat/>
    <w:rsid w:val="006d0b7d"/>
    <w:pPr>
      <w:keepNext/>
      <w:spacing w:lineRule="auto" w:line="360"/>
      <w:jc w:val="both"/>
      <w:outlineLvl w:val="1"/>
    </w:pPr>
    <w:rPr>
      <w:rFonts w:ascii="Arial Narrow" w:hAnsi="Arial Narrow"/>
      <w:b/>
      <w:bCs/>
    </w:rPr>
  </w:style>
  <w:style w:type="paragraph" w:styleId="Titolo3">
    <w:name w:val="Titolo 3"/>
    <w:basedOn w:val="Normal"/>
    <w:link w:val="Titolo3Carattere"/>
    <w:qFormat/>
    <w:rsid w:val="006d0b7d"/>
    <w:pPr>
      <w:keepNext/>
      <w:spacing w:lineRule="auto" w:line="360"/>
      <w:jc w:val="both"/>
      <w:outlineLvl w:val="2"/>
    </w:pPr>
    <w:rPr>
      <w:rFonts w:ascii="Arial Narrow" w:hAnsi="Arial Narrow"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qFormat/>
    <w:rsid w:val="006d0b7d"/>
    <w:rPr>
      <w:rFonts w:ascii="Arial Narrow" w:hAnsi="Arial Narrow" w:eastAsia="Arial Unicode MS" w:cs="Times New Roman"/>
      <w:b/>
      <w:bCs/>
      <w:sz w:val="28"/>
    </w:rPr>
  </w:style>
  <w:style w:type="character" w:styleId="Titolo2Carattere" w:customStyle="1">
    <w:name w:val="Titolo 2 Carattere"/>
    <w:basedOn w:val="DefaultParagraphFont"/>
    <w:link w:val="Titolo2"/>
    <w:qFormat/>
    <w:rsid w:val="006d0b7d"/>
    <w:rPr>
      <w:rFonts w:ascii="Arial Narrow" w:hAnsi="Arial Narrow" w:eastAsia="Arial Unicode MS" w:cs="Times New Roman"/>
      <w:b/>
      <w:bCs/>
    </w:rPr>
  </w:style>
  <w:style w:type="character" w:styleId="Titolo3Carattere" w:customStyle="1">
    <w:name w:val="Titolo 3 Carattere"/>
    <w:basedOn w:val="DefaultParagraphFont"/>
    <w:link w:val="Titolo3"/>
    <w:qFormat/>
    <w:rsid w:val="006d0b7d"/>
    <w:rPr>
      <w:rFonts w:ascii="Arial Narrow" w:hAnsi="Arial Narrow" w:eastAsia="Arial Unicode MS" w:cs="Times New Roman"/>
      <w:i/>
    </w:rPr>
  </w:style>
  <w:style w:type="character" w:styleId="ListLabel1">
    <w:name w:val="ListLabel 1"/>
    <w:qFormat/>
    <w:rPr>
      <w:i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ascii="Trebuchet MS" w:hAnsi="Trebuchet MS" w:cs="Mang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Lista" w:customStyle="1">
    <w:name w:val="lista"/>
    <w:basedOn w:val="Normal"/>
    <w:qFormat/>
    <w:rsid w:val="006d0b7d"/>
    <w:pPr>
      <w:overflowPunct w:val="true"/>
      <w:spacing w:before="40" w:after="40"/>
      <w:ind w:left="0" w:hanging="0"/>
      <w:jc w:val="both"/>
    </w:pPr>
    <w:rPr>
      <w:szCs w:val="20"/>
    </w:rPr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LibreOffice/4.4.2.2$Windows_x86 LibreOffice_project/c4c7d32d0d49397cad38d62472b0bc8acff48dd6</Application>
  <Paragraphs>69</Paragraphs>
  <Company>Dipartimento di Scienze Politiche e Sociali - Unive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2017-02-26T07:56:00Z</dcterms:created>
  <dc:creator>Emanuela Minuto</dc:creator>
  <dc:language>it-IT</dc:language>
  <cp:lastModifiedBy>Emanuela Minuto</cp:lastModifiedBy>
  <dcterms:modified xsi:type="dcterms:W3CDTF">2017-10-26T10:50:00Z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Dipartimento di Scienze Politiche e Sociali - Unive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