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599E" w:rsidRDefault="0070599E" w:rsidP="0070599E">
      <w:pPr>
        <w:spacing w:after="0" w:line="240" w:lineRule="auto"/>
        <w:jc w:val="both"/>
        <w:rPr>
          <w:rFonts w:eastAsia="Times New Roman"/>
          <w:b/>
          <w:bCs/>
          <w:sz w:val="24"/>
          <w:szCs w:val="24"/>
          <w:lang w:eastAsia="it-IT"/>
        </w:rPr>
      </w:pPr>
      <w:r>
        <w:rPr>
          <w:rFonts w:eastAsia="Times New Roman"/>
          <w:b/>
          <w:bCs/>
          <w:sz w:val="24"/>
          <w:szCs w:val="24"/>
          <w:lang w:eastAsia="it-IT"/>
        </w:rPr>
        <w:t>Curriculum breve Prof. Ivano Dionigi</w:t>
      </w:r>
    </w:p>
    <w:p w:rsidR="0070599E" w:rsidRDefault="0070599E" w:rsidP="0070599E">
      <w:pPr>
        <w:spacing w:after="0" w:line="240" w:lineRule="auto"/>
        <w:jc w:val="both"/>
        <w:rPr>
          <w:rFonts w:eastAsia="Times New Roman"/>
          <w:b/>
          <w:bCs/>
          <w:sz w:val="24"/>
          <w:szCs w:val="24"/>
          <w:lang w:eastAsia="it-IT"/>
        </w:rPr>
      </w:pPr>
    </w:p>
    <w:p w:rsidR="0070599E" w:rsidRDefault="0070599E" w:rsidP="0070599E">
      <w:pPr>
        <w:spacing w:after="0" w:line="240" w:lineRule="auto"/>
        <w:jc w:val="both"/>
        <w:rPr>
          <w:rFonts w:eastAsia="Times New Roman"/>
          <w:bCs/>
          <w:sz w:val="24"/>
          <w:szCs w:val="24"/>
          <w:lang w:eastAsia="it-IT"/>
        </w:rPr>
      </w:pPr>
      <w:r>
        <w:rPr>
          <w:rFonts w:eastAsia="Times New Roman"/>
          <w:bCs/>
          <w:sz w:val="24"/>
          <w:szCs w:val="24"/>
          <w:lang w:eastAsia="it-IT"/>
        </w:rPr>
        <w:t xml:space="preserve">Ivano Dionigi è professore ordinario di Lingua e Letteratura Latina, presidente della Pontificia Accademia di Latinità, fondatore e direttore del Centro Studi “La permanenza del Classico” dell’Alma Mater </w:t>
      </w:r>
      <w:proofErr w:type="spellStart"/>
      <w:r>
        <w:rPr>
          <w:rFonts w:eastAsia="Times New Roman"/>
          <w:bCs/>
          <w:sz w:val="24"/>
          <w:szCs w:val="24"/>
          <w:lang w:eastAsia="it-IT"/>
        </w:rPr>
        <w:t>Studiorum</w:t>
      </w:r>
      <w:proofErr w:type="spellEnd"/>
      <w:r>
        <w:rPr>
          <w:rFonts w:eastAsia="Times New Roman"/>
          <w:bCs/>
          <w:sz w:val="24"/>
          <w:szCs w:val="24"/>
          <w:lang w:eastAsia="it-IT"/>
        </w:rPr>
        <w:t xml:space="preserve"> – Università di Bologna, di cui è stato Magnifico Rettore dal 2009 al 2015. </w:t>
      </w:r>
    </w:p>
    <w:p w:rsidR="0070599E" w:rsidRDefault="0070599E" w:rsidP="0070599E">
      <w:pPr>
        <w:spacing w:after="0" w:line="240" w:lineRule="auto"/>
        <w:jc w:val="both"/>
        <w:rPr>
          <w:rFonts w:eastAsia="Times New Roman"/>
          <w:b/>
          <w:bCs/>
          <w:sz w:val="24"/>
          <w:szCs w:val="24"/>
          <w:lang w:eastAsia="it-IT"/>
        </w:rPr>
      </w:pPr>
    </w:p>
    <w:p w:rsidR="0070599E" w:rsidRDefault="0070599E" w:rsidP="0070599E">
      <w:pPr>
        <w:spacing w:after="0" w:line="240" w:lineRule="auto"/>
        <w:jc w:val="both"/>
        <w:rPr>
          <w:rFonts w:eastAsia="Times New Roman"/>
          <w:b/>
          <w:bCs/>
          <w:sz w:val="24"/>
          <w:szCs w:val="24"/>
          <w:lang w:eastAsia="it-IT"/>
        </w:rPr>
      </w:pPr>
      <w:r>
        <w:rPr>
          <w:rFonts w:eastAsia="Times New Roman"/>
          <w:b/>
          <w:bCs/>
          <w:sz w:val="24"/>
          <w:szCs w:val="24"/>
          <w:lang w:eastAsia="it-IT"/>
        </w:rPr>
        <w:t>Il docente</w:t>
      </w:r>
    </w:p>
    <w:p w:rsidR="0070599E" w:rsidRDefault="0070599E" w:rsidP="0070599E">
      <w:pPr>
        <w:spacing w:after="0" w:line="280" w:lineRule="exact"/>
        <w:jc w:val="both"/>
        <w:rPr>
          <w:rFonts w:eastAsia="Times New Roman"/>
          <w:sz w:val="24"/>
          <w:szCs w:val="24"/>
          <w:lang w:eastAsia="it-IT"/>
        </w:rPr>
      </w:pPr>
      <w:bookmarkStart w:id="0" w:name="studioso"/>
      <w:bookmarkEnd w:id="0"/>
      <w:r>
        <w:rPr>
          <w:rFonts w:eastAsia="Times New Roman"/>
          <w:sz w:val="24"/>
          <w:szCs w:val="24"/>
          <w:lang w:eastAsia="it-IT"/>
        </w:rPr>
        <w:t>Sposato, un figlio, pesarese di origine, si è formato e vive a Bologna</w:t>
      </w:r>
    </w:p>
    <w:p w:rsidR="0070599E" w:rsidRDefault="0070599E" w:rsidP="0070599E">
      <w:pPr>
        <w:spacing w:after="0" w:line="280" w:lineRule="exact"/>
        <w:jc w:val="both"/>
        <w:rPr>
          <w:rFonts w:eastAsia="Times New Roman"/>
          <w:sz w:val="24"/>
          <w:szCs w:val="24"/>
          <w:lang w:eastAsia="it-IT"/>
        </w:rPr>
      </w:pPr>
      <w:r>
        <w:rPr>
          <w:rFonts w:eastAsia="Times New Roman"/>
          <w:sz w:val="24"/>
          <w:szCs w:val="24"/>
          <w:lang w:eastAsia="it-IT"/>
        </w:rPr>
        <w:t xml:space="preserve">Dopo la maturità classica presso il Liceo Mamiani di Pesaro, il soggiorno presso il Collegio Universitario </w:t>
      </w:r>
      <w:proofErr w:type="spellStart"/>
      <w:r>
        <w:rPr>
          <w:rFonts w:eastAsia="Times New Roman"/>
          <w:sz w:val="24"/>
          <w:szCs w:val="24"/>
          <w:lang w:eastAsia="it-IT"/>
        </w:rPr>
        <w:t>Morgagni</w:t>
      </w:r>
      <w:proofErr w:type="spellEnd"/>
      <w:r>
        <w:rPr>
          <w:rFonts w:eastAsia="Times New Roman"/>
          <w:sz w:val="24"/>
          <w:szCs w:val="24"/>
          <w:lang w:eastAsia="it-IT"/>
        </w:rPr>
        <w:t xml:space="preserve">, la laurea in Lettere classiche, si è formato come ricercatore e professore presso l’Università di Bologna. È diventato Professore straordinario di </w:t>
      </w:r>
      <w:r>
        <w:rPr>
          <w:rFonts w:eastAsia="Times New Roman"/>
          <w:i/>
          <w:iCs/>
          <w:sz w:val="24"/>
          <w:szCs w:val="24"/>
          <w:lang w:eastAsia="it-IT"/>
        </w:rPr>
        <w:t>Letteratura Latina</w:t>
      </w:r>
      <w:r>
        <w:rPr>
          <w:rFonts w:eastAsia="Times New Roman"/>
          <w:sz w:val="24"/>
          <w:szCs w:val="24"/>
          <w:lang w:eastAsia="it-IT"/>
        </w:rPr>
        <w:t xml:space="preserve"> presso l’Università Ca' </w:t>
      </w:r>
      <w:proofErr w:type="spellStart"/>
      <w:r>
        <w:rPr>
          <w:rFonts w:eastAsia="Times New Roman"/>
          <w:sz w:val="24"/>
          <w:szCs w:val="24"/>
          <w:lang w:eastAsia="it-IT"/>
        </w:rPr>
        <w:t>Foscari</w:t>
      </w:r>
      <w:proofErr w:type="spellEnd"/>
      <w:r>
        <w:rPr>
          <w:rFonts w:eastAsia="Times New Roman"/>
          <w:sz w:val="24"/>
          <w:szCs w:val="24"/>
          <w:lang w:eastAsia="it-IT"/>
        </w:rPr>
        <w:t xml:space="preserve"> di Venezia (1991-1993); quindi Professore ordinario di </w:t>
      </w:r>
      <w:r>
        <w:rPr>
          <w:rFonts w:eastAsia="Times New Roman"/>
          <w:i/>
          <w:iCs/>
          <w:sz w:val="24"/>
          <w:szCs w:val="24"/>
          <w:lang w:eastAsia="it-IT"/>
        </w:rPr>
        <w:t>Letteratura Latina</w:t>
      </w:r>
      <w:r>
        <w:rPr>
          <w:rFonts w:eastAsia="Times New Roman"/>
          <w:sz w:val="24"/>
          <w:szCs w:val="24"/>
          <w:lang w:eastAsia="it-IT"/>
        </w:rPr>
        <w:t xml:space="preserve"> presso la Facoltà di Conservazione di Beni culturali di Ravenna (1994-1997); infine dal 1 novembre 1997 titolare, presso la Facoltà di Lettere e Filosofia dell'Università di Bologna, della I Cattedra di Letteratura Latina come successore di Alfonso Traina. È stato fra l’altro titolare dei corsi di </w:t>
      </w:r>
      <w:r>
        <w:rPr>
          <w:rFonts w:eastAsia="Times New Roman"/>
          <w:i/>
          <w:iCs/>
          <w:sz w:val="24"/>
          <w:szCs w:val="24"/>
          <w:lang w:eastAsia="it-IT"/>
        </w:rPr>
        <w:t>Lingua Latina</w:t>
      </w:r>
      <w:r>
        <w:rPr>
          <w:rFonts w:eastAsia="Times New Roman"/>
          <w:iCs/>
          <w:sz w:val="24"/>
          <w:szCs w:val="24"/>
          <w:lang w:eastAsia="it-IT"/>
        </w:rPr>
        <w:t xml:space="preserve">, </w:t>
      </w:r>
      <w:r>
        <w:rPr>
          <w:rFonts w:eastAsia="Times New Roman"/>
          <w:i/>
          <w:iCs/>
          <w:sz w:val="24"/>
          <w:szCs w:val="24"/>
          <w:lang w:eastAsia="it-IT"/>
        </w:rPr>
        <w:t>Tradizione e permanenza dei classici</w:t>
      </w:r>
      <w:r>
        <w:rPr>
          <w:rFonts w:eastAsia="Times New Roman"/>
          <w:iCs/>
          <w:sz w:val="24"/>
          <w:szCs w:val="24"/>
          <w:lang w:eastAsia="it-IT"/>
        </w:rPr>
        <w:t xml:space="preserve">, </w:t>
      </w:r>
      <w:r>
        <w:rPr>
          <w:rFonts w:eastAsia="Times New Roman"/>
          <w:i/>
          <w:iCs/>
          <w:sz w:val="24"/>
          <w:szCs w:val="24"/>
          <w:lang w:eastAsia="it-IT"/>
        </w:rPr>
        <w:t>Linguaggi delle scienze e antichità classica</w:t>
      </w:r>
      <w:r>
        <w:rPr>
          <w:rFonts w:eastAsia="Times New Roman"/>
          <w:sz w:val="24"/>
          <w:szCs w:val="24"/>
          <w:lang w:eastAsia="it-IT"/>
        </w:rPr>
        <w:t xml:space="preserve"> rivolto a tutti gli studenti dell’Ateneo.</w:t>
      </w:r>
    </w:p>
    <w:p w:rsidR="0070599E" w:rsidRDefault="0070599E" w:rsidP="0070599E">
      <w:pPr>
        <w:spacing w:after="0" w:line="240" w:lineRule="auto"/>
        <w:jc w:val="both"/>
        <w:rPr>
          <w:rFonts w:eastAsia="Times New Roman"/>
          <w:b/>
          <w:bCs/>
          <w:sz w:val="24"/>
          <w:szCs w:val="24"/>
          <w:lang w:eastAsia="it-IT"/>
        </w:rPr>
      </w:pPr>
    </w:p>
    <w:p w:rsidR="0070599E" w:rsidRDefault="0070599E" w:rsidP="0070599E">
      <w:pPr>
        <w:spacing w:after="0" w:line="240" w:lineRule="auto"/>
        <w:jc w:val="both"/>
        <w:rPr>
          <w:rFonts w:eastAsia="Times New Roman"/>
          <w:b/>
          <w:bCs/>
          <w:sz w:val="24"/>
          <w:szCs w:val="24"/>
          <w:lang w:eastAsia="it-IT"/>
        </w:rPr>
      </w:pPr>
      <w:r>
        <w:rPr>
          <w:rFonts w:eastAsia="Times New Roman"/>
          <w:b/>
          <w:bCs/>
          <w:sz w:val="24"/>
          <w:szCs w:val="24"/>
          <w:lang w:eastAsia="it-IT"/>
        </w:rPr>
        <w:t>Lo studioso</w:t>
      </w:r>
    </w:p>
    <w:p w:rsidR="0070599E" w:rsidRDefault="0070599E" w:rsidP="0070599E">
      <w:pPr>
        <w:spacing w:after="0" w:line="280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La sua ricerca è orientata su versanti molteplici: romano e greco, pagano e cristiano, classico e umanistico, latino e italiano, antico e moderno. </w:t>
      </w:r>
      <w:r>
        <w:rPr>
          <w:rFonts w:eastAsia="Times New Roman"/>
          <w:sz w:val="24"/>
          <w:szCs w:val="24"/>
          <w:lang w:eastAsia="it-IT"/>
        </w:rPr>
        <w:t>È autore di oltre un centinaio di pubblicazioni tra articoli, saggi e libri. Nei suoi studi si è dedicato particolarmente a Lucrezio (Commento a</w:t>
      </w:r>
      <w:r>
        <w:rPr>
          <w:rFonts w:eastAsia="Times New Roman"/>
          <w:i/>
          <w:sz w:val="24"/>
          <w:szCs w:val="24"/>
          <w:lang w:eastAsia="it-IT"/>
        </w:rPr>
        <w:t xml:space="preserve"> La natura delle cose</w:t>
      </w:r>
      <w:r>
        <w:rPr>
          <w:rFonts w:eastAsia="Times New Roman"/>
          <w:sz w:val="24"/>
          <w:szCs w:val="24"/>
          <w:lang w:eastAsia="it-IT"/>
        </w:rPr>
        <w:t xml:space="preserve">, 2000; </w:t>
      </w:r>
      <w:r>
        <w:rPr>
          <w:rFonts w:eastAsia="Times New Roman"/>
          <w:i/>
          <w:sz w:val="24"/>
          <w:szCs w:val="24"/>
          <w:lang w:eastAsia="it-IT"/>
        </w:rPr>
        <w:t>Lucrezio. Le parole e le cose</w:t>
      </w:r>
      <w:r>
        <w:rPr>
          <w:rFonts w:eastAsia="Times New Roman"/>
          <w:sz w:val="24"/>
          <w:szCs w:val="24"/>
          <w:lang w:eastAsia="it-IT"/>
        </w:rPr>
        <w:t>, 2005) e Seneca (</w:t>
      </w:r>
      <w:r>
        <w:rPr>
          <w:rFonts w:eastAsia="Times New Roman"/>
          <w:i/>
          <w:sz w:val="24"/>
          <w:szCs w:val="24"/>
          <w:lang w:eastAsia="it-IT"/>
        </w:rPr>
        <w:t xml:space="preserve">De </w:t>
      </w:r>
      <w:proofErr w:type="spellStart"/>
      <w:r>
        <w:rPr>
          <w:rFonts w:eastAsia="Times New Roman"/>
          <w:i/>
          <w:sz w:val="24"/>
          <w:szCs w:val="24"/>
          <w:lang w:eastAsia="it-IT"/>
        </w:rPr>
        <w:t>otio</w:t>
      </w:r>
      <w:proofErr w:type="spellEnd"/>
      <w:r>
        <w:rPr>
          <w:rFonts w:eastAsia="Times New Roman"/>
          <w:sz w:val="24"/>
          <w:szCs w:val="24"/>
          <w:lang w:eastAsia="it-IT"/>
        </w:rPr>
        <w:t xml:space="preserve">, 1983; </w:t>
      </w:r>
      <w:r>
        <w:rPr>
          <w:rFonts w:eastAsia="Times New Roman"/>
          <w:i/>
          <w:sz w:val="24"/>
          <w:szCs w:val="24"/>
          <w:lang w:eastAsia="it-IT"/>
        </w:rPr>
        <w:t xml:space="preserve">Problematica e fortuna del “De </w:t>
      </w:r>
      <w:proofErr w:type="spellStart"/>
      <w:r>
        <w:rPr>
          <w:rFonts w:eastAsia="Times New Roman"/>
          <w:i/>
          <w:sz w:val="24"/>
          <w:szCs w:val="24"/>
          <w:lang w:eastAsia="it-IT"/>
        </w:rPr>
        <w:t>providentia</w:t>
      </w:r>
      <w:proofErr w:type="spellEnd"/>
      <w:r>
        <w:rPr>
          <w:rFonts w:eastAsia="Times New Roman"/>
          <w:i/>
          <w:sz w:val="24"/>
          <w:szCs w:val="24"/>
          <w:lang w:eastAsia="it-IT"/>
        </w:rPr>
        <w:t>”</w:t>
      </w:r>
      <w:r>
        <w:rPr>
          <w:rFonts w:eastAsia="Times New Roman"/>
          <w:sz w:val="24"/>
          <w:szCs w:val="24"/>
          <w:lang w:eastAsia="it-IT"/>
        </w:rPr>
        <w:t xml:space="preserve">, in Seneca, </w:t>
      </w:r>
      <w:r>
        <w:rPr>
          <w:rFonts w:eastAsia="Times New Roman"/>
          <w:i/>
          <w:sz w:val="24"/>
          <w:szCs w:val="24"/>
          <w:lang w:eastAsia="it-IT"/>
        </w:rPr>
        <w:t>La provvidenza</w:t>
      </w:r>
      <w:r>
        <w:rPr>
          <w:rFonts w:eastAsia="Times New Roman"/>
          <w:sz w:val="24"/>
          <w:szCs w:val="24"/>
          <w:lang w:eastAsia="it-IT"/>
        </w:rPr>
        <w:t xml:space="preserve">, 2004; </w:t>
      </w:r>
      <w:r>
        <w:rPr>
          <w:rFonts w:eastAsia="Times New Roman"/>
          <w:i/>
          <w:sz w:val="24"/>
          <w:szCs w:val="24"/>
          <w:lang w:eastAsia="it-IT"/>
        </w:rPr>
        <w:t xml:space="preserve">I diversi volti di Seneca </w:t>
      </w:r>
      <w:r>
        <w:rPr>
          <w:rFonts w:eastAsia="Times New Roman"/>
          <w:sz w:val="24"/>
          <w:szCs w:val="24"/>
          <w:lang w:eastAsia="it-IT"/>
        </w:rPr>
        <w:t>e</w:t>
      </w:r>
      <w:r>
        <w:rPr>
          <w:rFonts w:eastAsia="Times New Roman"/>
          <w:i/>
          <w:sz w:val="24"/>
          <w:szCs w:val="24"/>
          <w:lang w:eastAsia="it-IT"/>
        </w:rPr>
        <w:t xml:space="preserve"> Seneca linguista</w:t>
      </w:r>
      <w:r>
        <w:rPr>
          <w:rFonts w:eastAsia="Times New Roman"/>
          <w:sz w:val="24"/>
          <w:szCs w:val="24"/>
          <w:lang w:eastAsia="it-IT"/>
        </w:rPr>
        <w:t xml:space="preserve">, in AA. VV., </w:t>
      </w:r>
      <w:r>
        <w:rPr>
          <w:rFonts w:eastAsia="Times New Roman"/>
          <w:i/>
          <w:sz w:val="24"/>
          <w:szCs w:val="24"/>
          <w:lang w:eastAsia="it-IT"/>
        </w:rPr>
        <w:t>Seneca nella coscienza dell’Europa</w:t>
      </w:r>
      <w:r>
        <w:rPr>
          <w:rFonts w:eastAsia="Times New Roman"/>
          <w:sz w:val="24"/>
          <w:szCs w:val="24"/>
          <w:lang w:eastAsia="it-IT"/>
        </w:rPr>
        <w:t xml:space="preserve">, 1999). Ha curato per Rizzoli diversi volumi sul rapporto antico/presente: </w:t>
      </w:r>
      <w:r>
        <w:rPr>
          <w:rFonts w:eastAsia="Times New Roman"/>
          <w:i/>
          <w:sz w:val="24"/>
          <w:szCs w:val="24"/>
          <w:lang w:eastAsia="it-IT"/>
        </w:rPr>
        <w:t>Di fronte ai classici. A colloquio con i Greci e i Latini</w:t>
      </w:r>
      <w:r>
        <w:rPr>
          <w:rFonts w:eastAsia="Times New Roman"/>
          <w:sz w:val="24"/>
          <w:szCs w:val="24"/>
          <w:lang w:eastAsia="it-IT"/>
        </w:rPr>
        <w:t xml:space="preserve"> (2002); </w:t>
      </w:r>
      <w:r>
        <w:rPr>
          <w:rFonts w:eastAsia="Times New Roman"/>
          <w:i/>
          <w:sz w:val="24"/>
          <w:szCs w:val="24"/>
          <w:lang w:eastAsia="it-IT"/>
        </w:rPr>
        <w:t>Nel segno della parola</w:t>
      </w:r>
      <w:r>
        <w:rPr>
          <w:rFonts w:eastAsia="Times New Roman"/>
          <w:sz w:val="24"/>
          <w:szCs w:val="24"/>
          <w:lang w:eastAsia="it-IT"/>
        </w:rPr>
        <w:t xml:space="preserve"> (2005); </w:t>
      </w:r>
      <w:r>
        <w:rPr>
          <w:rFonts w:eastAsia="Times New Roman"/>
          <w:i/>
          <w:sz w:val="24"/>
          <w:szCs w:val="24"/>
          <w:lang w:eastAsia="it-IT"/>
        </w:rPr>
        <w:t>La legge sovrana</w:t>
      </w:r>
      <w:r>
        <w:rPr>
          <w:rFonts w:eastAsia="Times New Roman"/>
          <w:sz w:val="24"/>
          <w:szCs w:val="24"/>
          <w:lang w:eastAsia="it-IT"/>
        </w:rPr>
        <w:t xml:space="preserve"> (2006); Morte. Fine o passaggio? (2007); I classici e la scienza. Gli antichi, i moderni, noi (2007); </w:t>
      </w:r>
      <w:r>
        <w:rPr>
          <w:rFonts w:eastAsia="Times New Roman"/>
          <w:i/>
          <w:sz w:val="24"/>
          <w:szCs w:val="24"/>
          <w:lang w:eastAsia="it-IT"/>
        </w:rPr>
        <w:t>Madre, madri</w:t>
      </w:r>
      <w:r>
        <w:rPr>
          <w:rFonts w:eastAsia="Times New Roman"/>
          <w:sz w:val="24"/>
          <w:szCs w:val="24"/>
          <w:lang w:eastAsia="it-IT"/>
        </w:rPr>
        <w:t xml:space="preserve"> (2008); </w:t>
      </w:r>
      <w:r>
        <w:rPr>
          <w:rFonts w:eastAsia="Times New Roman"/>
          <w:i/>
          <w:sz w:val="24"/>
          <w:szCs w:val="24"/>
          <w:lang w:eastAsia="it-IT"/>
        </w:rPr>
        <w:t>Elogio della politica</w:t>
      </w:r>
      <w:r>
        <w:rPr>
          <w:rFonts w:eastAsia="Times New Roman"/>
          <w:sz w:val="24"/>
          <w:szCs w:val="24"/>
          <w:lang w:eastAsia="it-IT"/>
        </w:rPr>
        <w:t xml:space="preserve"> (2009); </w:t>
      </w:r>
      <w:r>
        <w:rPr>
          <w:rFonts w:eastAsia="Times New Roman"/>
          <w:i/>
          <w:sz w:val="24"/>
          <w:szCs w:val="24"/>
          <w:lang w:eastAsia="it-IT"/>
        </w:rPr>
        <w:t>Il dio denaro</w:t>
      </w:r>
      <w:r>
        <w:rPr>
          <w:rFonts w:eastAsia="Times New Roman"/>
          <w:sz w:val="24"/>
          <w:szCs w:val="24"/>
          <w:lang w:eastAsia="it-IT"/>
        </w:rPr>
        <w:t xml:space="preserve"> (2010); </w:t>
      </w:r>
      <w:proofErr w:type="spellStart"/>
      <w:r>
        <w:rPr>
          <w:rFonts w:eastAsia="Times New Roman"/>
          <w:i/>
          <w:sz w:val="24"/>
          <w:szCs w:val="24"/>
          <w:lang w:eastAsia="it-IT"/>
        </w:rPr>
        <w:t>Animalia</w:t>
      </w:r>
      <w:proofErr w:type="spellEnd"/>
      <w:r>
        <w:rPr>
          <w:rFonts w:eastAsia="Times New Roman"/>
          <w:sz w:val="24"/>
          <w:szCs w:val="24"/>
          <w:lang w:eastAsia="it-IT"/>
        </w:rPr>
        <w:t xml:space="preserve"> (2011); </w:t>
      </w:r>
      <w:r>
        <w:rPr>
          <w:rFonts w:eastAsia="Times New Roman"/>
          <w:i/>
          <w:sz w:val="24"/>
          <w:szCs w:val="24"/>
          <w:lang w:eastAsia="it-IT"/>
        </w:rPr>
        <w:t xml:space="preserve">Eredi </w:t>
      </w:r>
      <w:r>
        <w:rPr>
          <w:rFonts w:eastAsia="Times New Roman"/>
          <w:sz w:val="24"/>
          <w:szCs w:val="24"/>
          <w:lang w:eastAsia="it-IT"/>
        </w:rPr>
        <w:t xml:space="preserve">(2012); </w:t>
      </w:r>
      <w:r>
        <w:rPr>
          <w:rFonts w:eastAsia="Times New Roman"/>
          <w:i/>
          <w:sz w:val="24"/>
          <w:szCs w:val="24"/>
          <w:lang w:eastAsia="it-IT"/>
        </w:rPr>
        <w:t>Barbarie</w:t>
      </w:r>
      <w:r>
        <w:rPr>
          <w:rFonts w:eastAsia="Times New Roman"/>
          <w:sz w:val="24"/>
          <w:szCs w:val="24"/>
          <w:lang w:eastAsia="it-IT"/>
        </w:rPr>
        <w:t xml:space="preserve"> (2013). Per Mondadori ha curato </w:t>
      </w:r>
      <w:r>
        <w:rPr>
          <w:rFonts w:eastAsia="Times New Roman"/>
          <w:i/>
          <w:sz w:val="24"/>
          <w:szCs w:val="24"/>
          <w:lang w:eastAsia="it-IT"/>
        </w:rPr>
        <w:t>I classici in prima persona</w:t>
      </w:r>
      <w:r>
        <w:rPr>
          <w:rFonts w:eastAsia="Times New Roman"/>
          <w:sz w:val="24"/>
          <w:szCs w:val="24"/>
          <w:lang w:eastAsia="it-IT"/>
        </w:rPr>
        <w:t xml:space="preserve"> di Giuseppe Pontiggia (2006). </w:t>
      </w:r>
    </w:p>
    <w:p w:rsidR="0070599E" w:rsidRDefault="0070599E" w:rsidP="0070599E">
      <w:pPr>
        <w:spacing w:after="0" w:line="280" w:lineRule="exact"/>
        <w:jc w:val="both"/>
        <w:rPr>
          <w:sz w:val="24"/>
          <w:szCs w:val="24"/>
        </w:rPr>
      </w:pPr>
    </w:p>
    <w:p w:rsidR="0070599E" w:rsidRDefault="0070599E" w:rsidP="0070599E">
      <w:pPr>
        <w:pStyle w:val="NormaleWeb"/>
        <w:jc w:val="both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L’accademico</w:t>
      </w:r>
    </w:p>
    <w:p w:rsidR="0070599E" w:rsidRDefault="0070599E" w:rsidP="0070599E">
      <w:pPr>
        <w:pStyle w:val="NormaleWeb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Consigliere d’Amministrazione dell’Ateneo (1987-1990; 1996-2002);</w:t>
      </w:r>
    </w:p>
    <w:p w:rsidR="0070599E" w:rsidRDefault="0070599E" w:rsidP="0070599E">
      <w:pPr>
        <w:pStyle w:val="NormaleWeb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Direttore del Dipartimento di Filologia Classica e Medioevale (2000-2006);</w:t>
      </w:r>
    </w:p>
    <w:p w:rsidR="0070599E" w:rsidRDefault="0070599E" w:rsidP="0070599E">
      <w:pPr>
        <w:pStyle w:val="NormaleWeb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Membro del Senato come Rappresentante dei Direttori di Area Umanistica (2003-2008);</w:t>
      </w:r>
    </w:p>
    <w:p w:rsidR="0070599E" w:rsidRDefault="0070599E" w:rsidP="0070599E">
      <w:pPr>
        <w:pStyle w:val="NormaleWeb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Coordinatore del Collegio dei Direttori di Dipartimento (2003-2008);</w:t>
      </w:r>
    </w:p>
    <w:p w:rsidR="0070599E" w:rsidRDefault="0070599E" w:rsidP="0070599E">
      <w:pPr>
        <w:pStyle w:val="NormaleWeb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Fondatore e Direttore del Centro Studi “La permanenza del Classico”;</w:t>
      </w:r>
    </w:p>
    <w:p w:rsidR="0070599E" w:rsidRDefault="0070599E" w:rsidP="0070599E">
      <w:pPr>
        <w:pStyle w:val="NormaleWeb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Membro effettivo dell’</w:t>
      </w:r>
      <w:r>
        <w:rPr>
          <w:rFonts w:ascii="Calibri" w:hAnsi="Calibri"/>
          <w:i/>
        </w:rPr>
        <w:t>Accademia delle Scienze di Bologna;</w:t>
      </w:r>
    </w:p>
    <w:p w:rsidR="0070599E" w:rsidRDefault="0070599E" w:rsidP="0070599E">
      <w:pPr>
        <w:pStyle w:val="NormaleWeb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 xml:space="preserve">Magnifico Rettore dell’Alma Mater </w:t>
      </w:r>
      <w:proofErr w:type="spellStart"/>
      <w:r>
        <w:rPr>
          <w:rFonts w:ascii="Calibri" w:hAnsi="Calibri"/>
        </w:rPr>
        <w:t>Studiorum</w:t>
      </w:r>
      <w:proofErr w:type="spellEnd"/>
      <w:r>
        <w:rPr>
          <w:rFonts w:ascii="Calibri" w:hAnsi="Calibri"/>
        </w:rPr>
        <w:t xml:space="preserve"> – Università di Bologna</w:t>
      </w:r>
      <w:bookmarkStart w:id="1" w:name="pubblico"/>
      <w:bookmarkEnd w:id="1"/>
      <w:r>
        <w:rPr>
          <w:rFonts w:ascii="Calibri" w:hAnsi="Calibri"/>
        </w:rPr>
        <w:t xml:space="preserve"> (2009-2015).</w:t>
      </w:r>
    </w:p>
    <w:p w:rsidR="0070599E" w:rsidRDefault="0070599E" w:rsidP="0070599E">
      <w:pPr>
        <w:spacing w:before="100" w:beforeAutospacing="1" w:after="100" w:afterAutospacing="1" w:line="240" w:lineRule="auto"/>
        <w:jc w:val="both"/>
        <w:rPr>
          <w:rFonts w:eastAsia="Times New Roman"/>
          <w:b/>
          <w:bCs/>
          <w:sz w:val="24"/>
          <w:szCs w:val="24"/>
          <w:lang w:eastAsia="it-IT"/>
        </w:rPr>
      </w:pPr>
      <w:r>
        <w:rPr>
          <w:rFonts w:eastAsia="Times New Roman"/>
          <w:b/>
          <w:bCs/>
          <w:sz w:val="24"/>
          <w:szCs w:val="24"/>
          <w:lang w:eastAsia="it-IT"/>
        </w:rPr>
        <w:t>L’uomo pubblico</w:t>
      </w:r>
    </w:p>
    <w:p w:rsidR="0070599E" w:rsidRDefault="0070599E" w:rsidP="0070599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/>
          <w:sz w:val="24"/>
          <w:szCs w:val="24"/>
          <w:lang w:eastAsia="it-IT"/>
        </w:rPr>
      </w:pPr>
      <w:r>
        <w:rPr>
          <w:rFonts w:eastAsia="Times New Roman"/>
          <w:sz w:val="24"/>
          <w:szCs w:val="24"/>
          <w:lang w:eastAsia="it-IT"/>
        </w:rPr>
        <w:t>Consigliere del Comune di Bologna (1990-2004);</w:t>
      </w:r>
    </w:p>
    <w:p w:rsidR="0070599E" w:rsidRDefault="0070599E" w:rsidP="0070599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/>
          <w:sz w:val="24"/>
          <w:szCs w:val="24"/>
          <w:lang w:eastAsia="it-IT"/>
        </w:rPr>
      </w:pPr>
      <w:r>
        <w:rPr>
          <w:rFonts w:eastAsia="Times New Roman"/>
          <w:sz w:val="24"/>
          <w:szCs w:val="24"/>
          <w:lang w:eastAsia="it-IT"/>
        </w:rPr>
        <w:t>Delegato del Consiglio comunale ai rapporti con l’Università (1995-1999);</w:t>
      </w:r>
    </w:p>
    <w:p w:rsidR="0070599E" w:rsidRDefault="0070599E" w:rsidP="0070599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/>
          <w:sz w:val="24"/>
          <w:szCs w:val="24"/>
          <w:lang w:eastAsia="it-IT"/>
        </w:rPr>
      </w:pPr>
      <w:r>
        <w:rPr>
          <w:rFonts w:eastAsia="Times New Roman"/>
          <w:sz w:val="24"/>
          <w:szCs w:val="24"/>
          <w:lang w:eastAsia="it-IT"/>
        </w:rPr>
        <w:t xml:space="preserve">Presidente della </w:t>
      </w:r>
      <w:r>
        <w:rPr>
          <w:rFonts w:eastAsia="Times New Roman"/>
          <w:i/>
          <w:iCs/>
          <w:sz w:val="24"/>
          <w:szCs w:val="24"/>
          <w:lang w:eastAsia="it-IT"/>
        </w:rPr>
        <w:t>Fondazione don Gaudiano</w:t>
      </w:r>
      <w:r>
        <w:rPr>
          <w:rFonts w:eastAsia="Times New Roman"/>
          <w:sz w:val="24"/>
          <w:szCs w:val="24"/>
          <w:lang w:eastAsia="it-IT"/>
        </w:rPr>
        <w:t xml:space="preserve"> di Pesaro;</w:t>
      </w:r>
    </w:p>
    <w:p w:rsidR="0070599E" w:rsidRDefault="0070599E" w:rsidP="0070599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/>
          <w:sz w:val="24"/>
          <w:szCs w:val="24"/>
          <w:lang w:eastAsia="it-IT"/>
        </w:rPr>
      </w:pPr>
      <w:r>
        <w:rPr>
          <w:rFonts w:eastAsia="Times New Roman"/>
          <w:sz w:val="24"/>
          <w:szCs w:val="24"/>
          <w:lang w:eastAsia="it-IT"/>
        </w:rPr>
        <w:t>Socio della Fondazione Cassa di Risparmio di Bologna;</w:t>
      </w:r>
    </w:p>
    <w:p w:rsidR="0070599E" w:rsidRDefault="0070599E" w:rsidP="0070599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/>
          <w:sz w:val="24"/>
          <w:szCs w:val="24"/>
          <w:lang w:eastAsia="it-IT"/>
        </w:rPr>
      </w:pPr>
      <w:r>
        <w:rPr>
          <w:rFonts w:eastAsia="Times New Roman"/>
          <w:sz w:val="24"/>
          <w:szCs w:val="24"/>
          <w:lang w:eastAsia="it-IT"/>
        </w:rPr>
        <w:t xml:space="preserve">Presidente del Consorzio interuniversitario </w:t>
      </w:r>
      <w:proofErr w:type="spellStart"/>
      <w:r>
        <w:rPr>
          <w:rFonts w:eastAsia="Times New Roman"/>
          <w:sz w:val="24"/>
          <w:szCs w:val="24"/>
          <w:lang w:eastAsia="it-IT"/>
        </w:rPr>
        <w:t>AlmaLaurea</w:t>
      </w:r>
      <w:proofErr w:type="spellEnd"/>
      <w:r>
        <w:rPr>
          <w:rFonts w:eastAsia="Times New Roman"/>
          <w:sz w:val="24"/>
          <w:szCs w:val="24"/>
          <w:lang w:eastAsia="it-IT"/>
        </w:rPr>
        <w:t xml:space="preserve">. </w:t>
      </w:r>
    </w:p>
    <w:p w:rsidR="0070599E" w:rsidRDefault="0070599E" w:rsidP="0070599E">
      <w:pPr>
        <w:pStyle w:val="NormaleWeb"/>
        <w:jc w:val="both"/>
        <w:rPr>
          <w:rFonts w:ascii="Calibri" w:hAnsi="Calibri"/>
          <w:b/>
          <w:bCs/>
        </w:rPr>
      </w:pPr>
    </w:p>
    <w:p w:rsidR="0070599E" w:rsidRDefault="0070599E" w:rsidP="0070599E">
      <w:pPr>
        <w:pStyle w:val="NormaleWeb"/>
        <w:jc w:val="both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 xml:space="preserve">Riconoscimenti </w:t>
      </w:r>
    </w:p>
    <w:p w:rsidR="0070599E" w:rsidRDefault="0070599E" w:rsidP="0070599E">
      <w:pPr>
        <w:pStyle w:val="NormaleWeb"/>
        <w:numPr>
          <w:ilvl w:val="0"/>
          <w:numId w:val="3"/>
        </w:numPr>
        <w:jc w:val="both"/>
        <w:rPr>
          <w:rFonts w:ascii="Calibri" w:hAnsi="Calibri"/>
          <w:b/>
          <w:bCs/>
        </w:rPr>
      </w:pPr>
      <w:r>
        <w:rPr>
          <w:rFonts w:ascii="Calibri" w:hAnsi="Calibri"/>
        </w:rPr>
        <w:t>Dottore Honoris Causa dell’Università di Bucarest (14 gennaio 2011);</w:t>
      </w:r>
    </w:p>
    <w:p w:rsidR="0070599E" w:rsidRDefault="0070599E" w:rsidP="0070599E">
      <w:pPr>
        <w:pStyle w:val="NormaleWeb"/>
        <w:numPr>
          <w:ilvl w:val="0"/>
          <w:numId w:val="3"/>
        </w:numPr>
        <w:jc w:val="both"/>
        <w:rPr>
          <w:rFonts w:ascii="Calibri" w:hAnsi="Calibri"/>
          <w:b/>
          <w:bCs/>
        </w:rPr>
      </w:pPr>
      <w:r>
        <w:rPr>
          <w:rFonts w:ascii="Calibri" w:hAnsi="Calibri"/>
        </w:rPr>
        <w:t>Membro del Board del Consiglio degli Istituti Confucio (2011-2015);</w:t>
      </w:r>
    </w:p>
    <w:p w:rsidR="0070599E" w:rsidRDefault="0070599E" w:rsidP="0070599E">
      <w:pPr>
        <w:pStyle w:val="NormaleWeb"/>
        <w:numPr>
          <w:ilvl w:val="0"/>
          <w:numId w:val="3"/>
        </w:numPr>
        <w:jc w:val="both"/>
        <w:rPr>
          <w:rFonts w:ascii="Calibri" w:hAnsi="Calibri"/>
          <w:b/>
          <w:bCs/>
        </w:rPr>
      </w:pPr>
      <w:r>
        <w:rPr>
          <w:rFonts w:ascii="Calibri" w:hAnsi="Calibri"/>
        </w:rPr>
        <w:t xml:space="preserve">Dottore Honoris Causa della </w:t>
      </w:r>
      <w:proofErr w:type="spellStart"/>
      <w:r>
        <w:rPr>
          <w:rFonts w:ascii="Calibri" w:hAnsi="Calibri"/>
        </w:rPr>
        <w:t>Mykolas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Romeris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University</w:t>
      </w:r>
      <w:proofErr w:type="spellEnd"/>
      <w:r>
        <w:rPr>
          <w:rFonts w:ascii="Calibri" w:hAnsi="Calibri"/>
        </w:rPr>
        <w:t xml:space="preserve"> di Vil</w:t>
      </w:r>
      <w:r w:rsidR="00A162AD">
        <w:rPr>
          <w:rFonts w:ascii="Calibri" w:hAnsi="Calibri"/>
        </w:rPr>
        <w:t>nius, Lituania (13 giugno 2012);</w:t>
      </w:r>
    </w:p>
    <w:p w:rsidR="0070599E" w:rsidRDefault="0070599E" w:rsidP="0070599E">
      <w:pPr>
        <w:pStyle w:val="NormaleWeb"/>
        <w:numPr>
          <w:ilvl w:val="0"/>
          <w:numId w:val="3"/>
        </w:numPr>
        <w:jc w:val="both"/>
        <w:rPr>
          <w:rFonts w:ascii="Calibri" w:hAnsi="Calibri"/>
        </w:rPr>
      </w:pPr>
      <w:r>
        <w:rPr>
          <w:rFonts w:ascii="Calibri" w:hAnsi="Calibri"/>
          <w:i/>
        </w:rPr>
        <w:t xml:space="preserve">Encomienda de </w:t>
      </w:r>
      <w:proofErr w:type="spellStart"/>
      <w:r>
        <w:rPr>
          <w:rFonts w:ascii="Calibri" w:hAnsi="Calibri"/>
          <w:i/>
        </w:rPr>
        <w:t>Número</w:t>
      </w:r>
      <w:proofErr w:type="spellEnd"/>
      <w:r>
        <w:rPr>
          <w:rFonts w:ascii="Calibri" w:hAnsi="Calibri"/>
          <w:i/>
        </w:rPr>
        <w:t xml:space="preserve"> de la </w:t>
      </w:r>
      <w:proofErr w:type="spellStart"/>
      <w:r>
        <w:rPr>
          <w:rFonts w:ascii="Calibri" w:hAnsi="Calibri"/>
          <w:i/>
        </w:rPr>
        <w:t>Orden</w:t>
      </w:r>
      <w:proofErr w:type="spellEnd"/>
      <w:r>
        <w:rPr>
          <w:rFonts w:ascii="Calibri" w:hAnsi="Calibri"/>
          <w:i/>
        </w:rPr>
        <w:t xml:space="preserve"> del </w:t>
      </w:r>
      <w:proofErr w:type="spellStart"/>
      <w:r>
        <w:rPr>
          <w:rFonts w:ascii="Calibri" w:hAnsi="Calibri"/>
          <w:i/>
        </w:rPr>
        <w:t>Mérito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  <w:i/>
        </w:rPr>
        <w:t>Civil</w:t>
      </w:r>
      <w:proofErr w:type="spellEnd"/>
      <w:r>
        <w:rPr>
          <w:rFonts w:ascii="Calibri" w:hAnsi="Calibri"/>
          <w:i/>
        </w:rPr>
        <w:t xml:space="preserve"> </w:t>
      </w:r>
      <w:r>
        <w:rPr>
          <w:rFonts w:ascii="Calibri" w:hAnsi="Calibri"/>
        </w:rPr>
        <w:t>conferita da S.M. il Re di Spagna tramite l’Ambasciata di Spagna a Roma (17 aprile 2013);</w:t>
      </w:r>
    </w:p>
    <w:p w:rsidR="0070599E" w:rsidRDefault="0070599E" w:rsidP="0070599E">
      <w:pPr>
        <w:pStyle w:val="NormaleWeb"/>
        <w:numPr>
          <w:ilvl w:val="0"/>
          <w:numId w:val="3"/>
        </w:numPr>
        <w:jc w:val="both"/>
        <w:rPr>
          <w:rFonts w:ascii="Calibri" w:hAnsi="Calibri"/>
        </w:rPr>
      </w:pPr>
      <w:r>
        <w:rPr>
          <w:rFonts w:ascii="Calibri" w:hAnsi="Calibri"/>
        </w:rPr>
        <w:t xml:space="preserve">Presidente della </w:t>
      </w:r>
      <w:r>
        <w:rPr>
          <w:rFonts w:ascii="Calibri" w:hAnsi="Calibri"/>
          <w:i/>
        </w:rPr>
        <w:t>Pontificia Accademia di Latinità</w:t>
      </w:r>
      <w:r>
        <w:rPr>
          <w:rFonts w:ascii="Calibri" w:hAnsi="Calibri"/>
        </w:rPr>
        <w:t xml:space="preserve"> per nomi</w:t>
      </w:r>
      <w:r w:rsidR="005F06AE">
        <w:rPr>
          <w:rFonts w:ascii="Calibri" w:hAnsi="Calibri"/>
        </w:rPr>
        <w:t xml:space="preserve">na del Pontefice Benedetto XVI </w:t>
      </w:r>
      <w:r w:rsidR="00A162AD">
        <w:rPr>
          <w:rFonts w:ascii="Calibri" w:hAnsi="Calibri"/>
        </w:rPr>
        <w:t>(10 novembre 2012); carica rinnovata da Papa Francesco il 20 dicembre 2017;</w:t>
      </w:r>
    </w:p>
    <w:p w:rsidR="002272BE" w:rsidRDefault="002272BE" w:rsidP="002272BE">
      <w:pPr>
        <w:pStyle w:val="Default"/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Consultore del Pontificio Consiglio della Cultura, nominato da </w:t>
      </w:r>
      <w:r w:rsidR="00A162AD">
        <w:rPr>
          <w:sz w:val="22"/>
          <w:szCs w:val="22"/>
        </w:rPr>
        <w:t>Papa Francesco (10 giugno 2014);</w:t>
      </w:r>
    </w:p>
    <w:p w:rsidR="002272BE" w:rsidRPr="00A162AD" w:rsidRDefault="002272BE" w:rsidP="002272BE">
      <w:pPr>
        <w:pStyle w:val="Default"/>
        <w:numPr>
          <w:ilvl w:val="0"/>
          <w:numId w:val="3"/>
        </w:numPr>
        <w:jc w:val="both"/>
        <w:rPr>
          <w:b/>
          <w:sz w:val="22"/>
          <w:szCs w:val="22"/>
        </w:rPr>
      </w:pPr>
      <w:r w:rsidRPr="00A162AD">
        <w:rPr>
          <w:b/>
          <w:sz w:val="22"/>
          <w:szCs w:val="22"/>
        </w:rPr>
        <w:t>Cittadino onorario di Pesaro (Consigl</w:t>
      </w:r>
      <w:r w:rsidR="00A162AD">
        <w:rPr>
          <w:b/>
          <w:sz w:val="22"/>
          <w:szCs w:val="22"/>
        </w:rPr>
        <w:t>io Comunale del 5 ottobre 2015);</w:t>
      </w:r>
    </w:p>
    <w:p w:rsidR="002272BE" w:rsidRDefault="002272BE" w:rsidP="002272BE">
      <w:pPr>
        <w:pStyle w:val="Default"/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Grande Ufficiale della Repubblica Italiana (Onorificenza consegnata in Prefettura a Bologna il 2 giugno 2017)</w:t>
      </w:r>
      <w:r w:rsidR="00A162AD">
        <w:rPr>
          <w:sz w:val="22"/>
          <w:szCs w:val="22"/>
        </w:rPr>
        <w:t>.</w:t>
      </w:r>
      <w:bookmarkStart w:id="2" w:name="_GoBack"/>
      <w:bookmarkEnd w:id="2"/>
    </w:p>
    <w:p w:rsidR="0070599E" w:rsidRDefault="0070599E" w:rsidP="0070599E">
      <w:pPr>
        <w:pStyle w:val="NormaleWeb"/>
        <w:ind w:left="720"/>
        <w:jc w:val="both"/>
        <w:rPr>
          <w:rFonts w:ascii="Calibri" w:hAnsi="Calibri"/>
        </w:rPr>
      </w:pPr>
      <w:r>
        <w:rPr>
          <w:rFonts w:ascii="Calibri" w:hAnsi="Calibri"/>
        </w:rPr>
        <w:br/>
      </w:r>
    </w:p>
    <w:sectPr w:rsidR="0070599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D1BCB"/>
    <w:multiLevelType w:val="hybridMultilevel"/>
    <w:tmpl w:val="D94A972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C327C8"/>
    <w:multiLevelType w:val="hybridMultilevel"/>
    <w:tmpl w:val="DC985F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DF1634"/>
    <w:multiLevelType w:val="hybridMultilevel"/>
    <w:tmpl w:val="F45289E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26166F"/>
    <w:multiLevelType w:val="hybridMultilevel"/>
    <w:tmpl w:val="B172E12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99E"/>
    <w:rsid w:val="002272BE"/>
    <w:rsid w:val="004550D9"/>
    <w:rsid w:val="005A4C8E"/>
    <w:rsid w:val="005F06AE"/>
    <w:rsid w:val="0070599E"/>
    <w:rsid w:val="00A16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B0EDA"/>
  <w15:chartTrackingRefBased/>
  <w15:docId w15:val="{1D587120-D095-4EE9-8350-F7D12D2A4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0599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semiHidden/>
    <w:unhideWhenUsed/>
    <w:rsid w:val="0070599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paragraph" w:customStyle="1" w:styleId="Default">
    <w:name w:val="Default"/>
    <w:rsid w:val="002272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725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1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589</Words>
  <Characters>3360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Ivano Dionigi</dc:creator>
  <cp:keywords/>
  <dc:description/>
  <cp:lastModifiedBy>Ivano Dionigi</cp:lastModifiedBy>
  <cp:revision>5</cp:revision>
  <dcterms:created xsi:type="dcterms:W3CDTF">2017-02-08T16:41:00Z</dcterms:created>
  <dcterms:modified xsi:type="dcterms:W3CDTF">2018-01-29T07:57:00Z</dcterms:modified>
</cp:coreProperties>
</file>