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pPr>
      <w:r>
        <w:rPr>
          <w:rFonts w:cs="Times New Roman" w:ascii="Times New Roman" w:hAnsi="Times New Roman"/>
          <w:b/>
          <w:sz w:val="24"/>
        </w:rPr>
        <w:t xml:space="preserve"> </w:t>
      </w:r>
      <w:r>
        <w:rPr>
          <w:rFonts w:cs="Times New Roman" w:ascii="Times New Roman" w:hAnsi="Times New Roman"/>
          <w:b/>
          <w:sz w:val="24"/>
        </w:rPr>
        <w:t>SCHEMA DI CONVENZIONE TRA IL COMUNE DI REGGIO EMILIA E PAUSE ATELIER DEI SAPORI S.R.L., PER LA REALIZZAZIONE DELL’INTERVENTO DI “COPERTURA TERRAZZA ESTERNA ATELIER DEI SAPORI NELL’AMBITO DEL CENTRO INTERNAZIONALE LORIS MALAGUZZI”.</w:t>
      </w:r>
    </w:p>
    <w:p>
      <w:pPr>
        <w:pStyle w:val="Standard"/>
        <w:ind w:left="709" w:hanging="0"/>
        <w:rPr/>
      </w:pPr>
      <w:r>
        <w:rPr>
          <w:rFonts w:cs="Times New Roman" w:ascii="Times New Roman" w:hAnsi="Times New Roman"/>
          <w:sz w:val="24"/>
        </w:rPr>
        <w:t>L’anno 2018 il giorno … del mese di ….. in Reggio Emilia</w:t>
      </w:r>
    </w:p>
    <w:p>
      <w:pPr>
        <w:pStyle w:val="Standard"/>
        <w:ind w:left="709" w:hanging="0"/>
        <w:jc w:val="center"/>
        <w:rPr/>
      </w:pPr>
      <w:r>
        <w:rPr>
          <w:rFonts w:cs="Times New Roman" w:ascii="Times New Roman" w:hAnsi="Times New Roman"/>
          <w:b/>
          <w:sz w:val="24"/>
        </w:rPr>
        <w:t>TRA</w:t>
      </w:r>
    </w:p>
    <w:p>
      <w:pPr>
        <w:pStyle w:val="Standard"/>
        <w:ind w:left="709" w:hanging="0"/>
        <w:jc w:val="both"/>
        <w:rPr/>
      </w:pPr>
      <w:r>
        <w:rPr>
          <w:rFonts w:cs="Times New Roman" w:ascii="Times New Roman" w:hAnsi="Times New Roman"/>
          <w:sz w:val="24"/>
        </w:rPr>
        <w:t xml:space="preserve">Il Comune di Reggio Emilia con sede ivi in Piazza Prampolini n. 1 CF e PI 00145920351 in seguito denominato “Comune”, rappresentato dall’Arch. Massimo Magnani in qualità di Direttore Area Competitività, Innovazione Sociale, Territorio, Beni Comuni  </w:t>
      </w:r>
    </w:p>
    <w:p>
      <w:pPr>
        <w:pStyle w:val="Standard"/>
        <w:ind w:left="709" w:hanging="0"/>
        <w:jc w:val="center"/>
        <w:rPr/>
      </w:pPr>
      <w:r>
        <w:rPr>
          <w:rFonts w:cs="Times New Roman" w:ascii="Times New Roman" w:hAnsi="Times New Roman"/>
          <w:b/>
          <w:sz w:val="24"/>
        </w:rPr>
        <w:t>E</w:t>
      </w:r>
    </w:p>
    <w:p>
      <w:pPr>
        <w:pStyle w:val="Standard"/>
        <w:ind w:left="709" w:hanging="0"/>
        <w:jc w:val="both"/>
        <w:rPr>
          <w:highlight w:val="cyan"/>
        </w:rPr>
      </w:pPr>
      <w:r>
        <w:rPr>
          <w:rFonts w:cs="Times New Roman" w:ascii="Times New Roman" w:hAnsi="Times New Roman"/>
          <w:sz w:val="24"/>
        </w:rPr>
        <w:t>PAUSE Atelier dei Sapori S.r.l. con sede in Reggio Emilia, P.Iva: 02771650351 , in seguito denominato “PAUSE</w:t>
      </w:r>
      <w:r>
        <w:rPr/>
        <w:t xml:space="preserve"> </w:t>
      </w:r>
      <w:r>
        <w:rPr>
          <w:rFonts w:cs="Times New Roman" w:ascii="Times New Roman" w:hAnsi="Times New Roman"/>
          <w:sz w:val="24"/>
        </w:rPr>
        <w:t>Atelier dei Sapori S.r.l.”, rappresentata da Paola Cavazzoni, in qualità di legale rappresentante</w:t>
      </w:r>
    </w:p>
    <w:p>
      <w:pPr>
        <w:pStyle w:val="Standard"/>
        <w:ind w:left="709" w:hanging="0"/>
        <w:jc w:val="both"/>
        <w:rPr/>
      </w:pPr>
      <w:r>
        <w:rPr>
          <w:rFonts w:cs="Times New Roman" w:ascii="Times New Roman" w:hAnsi="Times New Roman"/>
          <w:sz w:val="24"/>
        </w:rPr>
        <w:t>Congiuntamente considerate “Parti”.</w:t>
      </w:r>
    </w:p>
    <w:p>
      <w:pPr>
        <w:pStyle w:val="Standard"/>
        <w:ind w:left="709" w:hanging="0"/>
        <w:jc w:val="both"/>
        <w:rPr/>
      </w:pPr>
      <w:r>
        <w:rPr>
          <w:rFonts w:cs="Times New Roman" w:ascii="Times New Roman" w:hAnsi="Times New Roman"/>
          <w:sz w:val="24"/>
        </w:rPr>
        <w:t>Premesso che:</w:t>
      </w:r>
    </w:p>
    <w:p>
      <w:pPr>
        <w:pStyle w:val="ListParagraph"/>
        <w:jc w:val="both"/>
        <w:rPr/>
      </w:pPr>
      <w:r>
        <w:rPr>
          <w:rFonts w:cs="Times New Roman" w:ascii="Times New Roman" w:hAnsi="Times New Roman"/>
          <w:sz w:val="24"/>
          <w:szCs w:val="24"/>
        </w:rPr>
        <w:t>- con deliberazione di Consiglio Comunale n. 54 del 11/04/2017 sono stati approvati da parte del Comune di Reggio Emilia il Bilancio di Previsione 2017 -2019 e il D.U.P. [Documento Unico di Programmazione];</w:t>
      </w:r>
    </w:p>
    <w:p>
      <w:pPr>
        <w:pStyle w:val="ListParagraph"/>
        <w:jc w:val="both"/>
        <w:rPr/>
      </w:pPr>
      <w:r>
        <w:rPr>
          <w:rFonts w:cs="Times New Roman" w:ascii="Times New Roman" w:hAnsi="Times New Roman"/>
          <w:sz w:val="24"/>
          <w:szCs w:val="24"/>
        </w:rPr>
        <w:t>- con successiva deliberazione datata 20/07/2017 della Giunta comunale N.117 veniva approvato lo schema del D.U.P. 2018-2020, provvedendo contestualmente all'adozione del P.T.LL.PP. 2018-2020;</w:t>
      </w:r>
    </w:p>
    <w:p>
      <w:pPr>
        <w:pStyle w:val="ListParagraph"/>
        <w:jc w:val="both"/>
        <w:rPr/>
      </w:pPr>
      <w:r>
        <w:rPr>
          <w:rFonts w:cs="Times New Roman" w:ascii="Times New Roman" w:hAnsi="Times New Roman"/>
          <w:sz w:val="24"/>
          <w:szCs w:val="24"/>
        </w:rPr>
        <w:t>- nel dispositivo della precitata deliberazione in cui si dava atto, ai sensi dell'art.170 c.1 del Dlgs 267/2000, che la Giunta Comunale avrebbe provveduto a presentare al Consiglio comunale, unitamente alla delibera del bilancio di previsione finanziario, la nota di aggiornamento del Documento Unico di Programmazione 2018-2020 e conseguentemente del P.T.LL.PP aggiornato;</w:t>
      </w:r>
    </w:p>
    <w:p>
      <w:pPr>
        <w:pStyle w:val="ListParagraph"/>
        <w:jc w:val="both"/>
        <w:rPr/>
      </w:pPr>
      <w:r>
        <w:rPr>
          <w:rFonts w:cs="Times New Roman" w:ascii="Times New Roman" w:hAnsi="Times New Roman"/>
          <w:sz w:val="24"/>
          <w:szCs w:val="24"/>
        </w:rPr>
        <w:t>- con deliberazione della Giunta Comunale n. 238 del 19/12/2017 veniva approvato, ai fini dell’inserimento del P.T.LL.PP 2018-2020, annualità 2018, lo studio di fattibilità dell’intervento “Ampliamento terrazza spazio Pause”;</w:t>
      </w:r>
    </w:p>
    <w:p>
      <w:pPr>
        <w:pStyle w:val="ListParagraph"/>
        <w:jc w:val="both"/>
        <w:rPr>
          <w:rFonts w:ascii="Times New Roman" w:hAnsi="Times New Roman" w:cs="Times New Roman"/>
          <w:sz w:val="24"/>
          <w:szCs w:val="24"/>
        </w:rPr>
      </w:pPr>
      <w:r>
        <w:rPr>
          <w:rFonts w:cs="Times New Roman" w:ascii="Times New Roman" w:hAnsi="Times New Roman"/>
          <w:sz w:val="24"/>
          <w:szCs w:val="24"/>
        </w:rPr>
        <w:t>- con deliberazione del Consiglio Comunale n. 193 del 22/12/2017 recante “APPROVAZIONE DEL BILANCIO DI PREVISIONE FINANZIARIO 2018-2020, DEL DOCUMENTO UNICO DI PROGRAMMAZIONE 2018-2020 (NOTA DI AGGIORNAMENTO) E RELATIVI ALLEGATI” si è provveduto all’approvazione, tra gli allegati, dello schema di Programma Triennale dei LL.PP. che contiene, tra gli altri, il seguente intervento:</w:t>
      </w:r>
    </w:p>
    <w:tbl>
      <w:tblPr>
        <w:tblW w:w="8850" w:type="dxa"/>
        <w:jc w:val="left"/>
        <w:tblInd w:w="769" w:type="dxa"/>
        <w:tblBorders>
          <w:top w:val="single" w:sz="2" w:space="0" w:color="000001"/>
          <w:left w:val="single" w:sz="2" w:space="0" w:color="000001"/>
          <w:bottom w:val="single" w:sz="2" w:space="0" w:color="000001"/>
          <w:insideH w:val="single" w:sz="2" w:space="0" w:color="000001"/>
        </w:tblBorders>
        <w:tblCellMar>
          <w:top w:w="55" w:type="dxa"/>
          <w:left w:w="36" w:type="dxa"/>
          <w:bottom w:w="55" w:type="dxa"/>
          <w:right w:w="55" w:type="dxa"/>
        </w:tblCellMar>
        <w:tblLook w:val="04a0"/>
      </w:tblPr>
      <w:tblGrid>
        <w:gridCol w:w="1246"/>
        <w:gridCol w:w="1789"/>
        <w:gridCol w:w="1909"/>
        <w:gridCol w:w="2705"/>
        <w:gridCol w:w="1201"/>
      </w:tblGrid>
      <w:tr>
        <w:trPr/>
        <w:tc>
          <w:tcPr>
            <w:tcW w:w="1246" w:type="dxa"/>
            <w:tcBorders>
              <w:top w:val="single" w:sz="2" w:space="0" w:color="000001"/>
              <w:left w:val="single" w:sz="2" w:space="0" w:color="000001"/>
              <w:bottom w:val="single" w:sz="2" w:space="0" w:color="000001"/>
              <w:insideH w:val="single" w:sz="2" w:space="0" w:color="000001"/>
            </w:tcBorders>
            <w:shd w:color="auto" w:fill="DDDDDD" w:val="clear"/>
            <w:tcMar>
              <w:left w:w="36" w:type="dxa"/>
            </w:tcMar>
          </w:tcPr>
          <w:p>
            <w:pPr>
              <w:pStyle w:val="Normal"/>
              <w:jc w:val="both"/>
              <w:rPr>
                <w:rFonts w:ascii="Times New Roman" w:hAnsi="Times New Roman" w:cs="Times New Roman"/>
                <w:sz w:val="24"/>
                <w:szCs w:val="24"/>
              </w:rPr>
            </w:pPr>
            <w:r>
              <w:rPr>
                <w:rFonts w:cs="Times New Roman" w:ascii="Times New Roman" w:hAnsi="Times New Roman"/>
                <w:b/>
                <w:sz w:val="20"/>
                <w:szCs w:val="20"/>
              </w:rPr>
              <w:t>Cod.Int. Amm.ne</w:t>
            </w:r>
          </w:p>
        </w:tc>
        <w:tc>
          <w:tcPr>
            <w:tcW w:w="1789" w:type="dxa"/>
            <w:tcBorders>
              <w:top w:val="single" w:sz="2" w:space="0" w:color="000001"/>
              <w:left w:val="single" w:sz="2" w:space="0" w:color="000001"/>
              <w:bottom w:val="single" w:sz="2" w:space="0" w:color="000001"/>
              <w:insideH w:val="single" w:sz="2" w:space="0" w:color="000001"/>
            </w:tcBorders>
            <w:shd w:color="auto" w:fill="DDDDDD" w:val="clear"/>
            <w:tcMar>
              <w:left w:w="36" w:type="dxa"/>
            </w:tcMar>
          </w:tcPr>
          <w:p>
            <w:pPr>
              <w:pStyle w:val="Normal"/>
              <w:rPr>
                <w:rFonts w:ascii="Times New Roman" w:hAnsi="Times New Roman" w:cs="Times New Roman"/>
                <w:sz w:val="24"/>
                <w:szCs w:val="24"/>
              </w:rPr>
            </w:pPr>
            <w:r>
              <w:rPr>
                <w:rFonts w:cs="Times New Roman" w:ascii="Times New Roman" w:hAnsi="Times New Roman"/>
                <w:b/>
                <w:sz w:val="20"/>
                <w:szCs w:val="20"/>
              </w:rPr>
              <w:t>CODICE UNICO INTERVENTO</w:t>
            </w:r>
          </w:p>
          <w:p>
            <w:pPr>
              <w:pStyle w:val="Normal"/>
              <w:rPr>
                <w:rFonts w:ascii="Times New Roman" w:hAnsi="Times New Roman" w:cs="Times New Roman"/>
                <w:sz w:val="24"/>
                <w:szCs w:val="24"/>
              </w:rPr>
            </w:pPr>
            <w:r>
              <w:rPr>
                <w:rFonts w:cs="Times New Roman" w:ascii="Times New Roman" w:hAnsi="Times New Roman"/>
                <w:b/>
                <w:sz w:val="20"/>
                <w:szCs w:val="20"/>
              </w:rPr>
              <w:t>C.U.I</w:t>
            </w:r>
          </w:p>
        </w:tc>
        <w:tc>
          <w:tcPr>
            <w:tcW w:w="1909" w:type="dxa"/>
            <w:tcBorders>
              <w:top w:val="single" w:sz="2" w:space="0" w:color="000001"/>
              <w:left w:val="single" w:sz="2" w:space="0" w:color="000001"/>
              <w:bottom w:val="single" w:sz="2" w:space="0" w:color="000001"/>
              <w:insideH w:val="single" w:sz="2" w:space="0" w:color="000001"/>
            </w:tcBorders>
            <w:shd w:color="auto" w:fill="DDDDDD" w:val="clear"/>
            <w:tcMar>
              <w:left w:w="36" w:type="dxa"/>
            </w:tcMar>
          </w:tcPr>
          <w:p>
            <w:pPr>
              <w:pStyle w:val="Normal"/>
              <w:rPr>
                <w:rFonts w:ascii="Times New Roman" w:hAnsi="Times New Roman" w:cs="Times New Roman"/>
                <w:sz w:val="24"/>
                <w:szCs w:val="24"/>
              </w:rPr>
            </w:pPr>
            <w:r>
              <w:rPr>
                <w:rFonts w:cs="Times New Roman" w:ascii="Times New Roman" w:hAnsi="Times New Roman"/>
                <w:b/>
                <w:sz w:val="20"/>
                <w:szCs w:val="20"/>
              </w:rPr>
              <w:t>CUP</w:t>
            </w:r>
          </w:p>
        </w:tc>
        <w:tc>
          <w:tcPr>
            <w:tcW w:w="2705" w:type="dxa"/>
            <w:tcBorders>
              <w:top w:val="single" w:sz="2" w:space="0" w:color="000001"/>
              <w:left w:val="single" w:sz="2" w:space="0" w:color="000001"/>
              <w:bottom w:val="single" w:sz="2" w:space="0" w:color="000001"/>
              <w:insideH w:val="single" w:sz="2" w:space="0" w:color="000001"/>
            </w:tcBorders>
            <w:shd w:color="auto" w:fill="DDDDDD" w:val="clear"/>
            <w:tcMar>
              <w:left w:w="36" w:type="dxa"/>
            </w:tcMar>
          </w:tcPr>
          <w:p>
            <w:pPr>
              <w:pStyle w:val="Normal"/>
              <w:rPr>
                <w:rFonts w:ascii="Times New Roman" w:hAnsi="Times New Roman" w:cs="Times New Roman"/>
                <w:sz w:val="24"/>
                <w:szCs w:val="24"/>
              </w:rPr>
            </w:pPr>
            <w:r>
              <w:rPr>
                <w:rFonts w:cs="Times New Roman" w:ascii="Times New Roman" w:hAnsi="Times New Roman"/>
                <w:b/>
                <w:sz w:val="20"/>
                <w:szCs w:val="20"/>
              </w:rPr>
              <w:t>DESCRIZIONE</w:t>
            </w:r>
          </w:p>
          <w:p>
            <w:pPr>
              <w:pStyle w:val="Normal"/>
              <w:rPr>
                <w:rFonts w:ascii="Times New Roman" w:hAnsi="Times New Roman" w:cs="Times New Roman"/>
                <w:sz w:val="24"/>
                <w:szCs w:val="24"/>
              </w:rPr>
            </w:pPr>
            <w:r>
              <w:rPr>
                <w:rFonts w:cs="Times New Roman" w:ascii="Times New Roman" w:hAnsi="Times New Roman"/>
                <w:b/>
                <w:sz w:val="20"/>
                <w:szCs w:val="20"/>
              </w:rPr>
              <w:t>DELL'INTERVENTO</w:t>
            </w:r>
          </w:p>
        </w:tc>
        <w:tc>
          <w:tcPr>
            <w:tcW w:w="120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DDDDDD" w:val="clear"/>
            <w:tcMar>
              <w:left w:w="36" w:type="dxa"/>
            </w:tcMar>
          </w:tcPr>
          <w:p>
            <w:pPr>
              <w:pStyle w:val="Normal"/>
              <w:rPr>
                <w:rFonts w:ascii="Times New Roman" w:hAnsi="Times New Roman" w:cs="Times New Roman"/>
                <w:sz w:val="24"/>
                <w:szCs w:val="24"/>
              </w:rPr>
            </w:pPr>
            <w:r>
              <w:rPr>
                <w:rFonts w:cs="Times New Roman" w:ascii="Times New Roman" w:hAnsi="Times New Roman"/>
                <w:sz w:val="20"/>
                <w:szCs w:val="20"/>
              </w:rPr>
              <w:t>IMPORTO</w:t>
            </w:r>
          </w:p>
        </w:tc>
      </w:tr>
      <w:tr>
        <w:trPr/>
        <w:tc>
          <w:tcPr>
            <w:tcW w:w="1246" w:type="dxa"/>
            <w:tcBorders>
              <w:top w:val="single" w:sz="2" w:space="0" w:color="000001"/>
              <w:left w:val="single" w:sz="2" w:space="0" w:color="000001"/>
              <w:bottom w:val="single" w:sz="2" w:space="0" w:color="000001"/>
              <w:insideH w:val="single" w:sz="2" w:space="0" w:color="000001"/>
            </w:tcBorders>
            <w:shd w:color="auto" w:fill="auto" w:val="clear"/>
            <w:tcMar>
              <w:left w:w="36" w:type="dxa"/>
            </w:tcMar>
          </w:tcPr>
          <w:p>
            <w:pPr>
              <w:pStyle w:val="Normal"/>
              <w:rPr>
                <w:rFonts w:ascii="Times New Roman" w:hAnsi="Times New Roman" w:cs="Times New Roman"/>
                <w:sz w:val="24"/>
                <w:szCs w:val="24"/>
              </w:rPr>
            </w:pPr>
            <w:r>
              <w:rPr>
                <w:rFonts w:cs="Times New Roman" w:ascii="Times New Roman" w:hAnsi="Times New Roman"/>
                <w:sz w:val="24"/>
                <w:szCs w:val="24"/>
              </w:rPr>
              <w:t>T_09101</w:t>
            </w:r>
          </w:p>
        </w:tc>
        <w:tc>
          <w:tcPr>
            <w:tcW w:w="1789" w:type="dxa"/>
            <w:tcBorders>
              <w:top w:val="single" w:sz="2" w:space="0" w:color="000001"/>
              <w:left w:val="single" w:sz="2" w:space="0" w:color="000001"/>
              <w:bottom w:val="single" w:sz="2" w:space="0" w:color="000001"/>
              <w:insideH w:val="single" w:sz="2" w:space="0" w:color="000001"/>
            </w:tcBorders>
            <w:shd w:color="auto" w:fill="auto" w:val="clear"/>
            <w:tcMar>
              <w:left w:w="36" w:type="dxa"/>
            </w:tcMar>
          </w:tcPr>
          <w:p>
            <w:pPr>
              <w:pStyle w:val="Normal"/>
              <w:rPr>
                <w:rFonts w:ascii="Times New Roman" w:hAnsi="Times New Roman" w:cs="Times New Roman"/>
                <w:sz w:val="24"/>
                <w:szCs w:val="24"/>
              </w:rPr>
            </w:pPr>
            <w:r>
              <w:rPr>
                <w:rFonts w:cs="Times New Roman" w:ascii="Times New Roman" w:hAnsi="Times New Roman"/>
                <w:sz w:val="24"/>
                <w:szCs w:val="24"/>
              </w:rPr>
              <w:t xml:space="preserve">00145920351201 </w:t>
            </w:r>
          </w:p>
          <w:p>
            <w:pPr>
              <w:pStyle w:val="Normal"/>
              <w:rPr>
                <w:rFonts w:ascii="Times New Roman" w:hAnsi="Times New Roman" w:cs="Times New Roman"/>
                <w:sz w:val="24"/>
                <w:szCs w:val="24"/>
              </w:rPr>
            </w:pPr>
            <w:r>
              <w:rPr>
                <w:rFonts w:cs="Times New Roman" w:ascii="Times New Roman" w:hAnsi="Times New Roman"/>
                <w:sz w:val="24"/>
                <w:szCs w:val="24"/>
              </w:rPr>
              <w:t>80033</w:t>
            </w:r>
          </w:p>
        </w:tc>
        <w:tc>
          <w:tcPr>
            <w:tcW w:w="1909" w:type="dxa"/>
            <w:tcBorders>
              <w:top w:val="single" w:sz="2" w:space="0" w:color="000001"/>
              <w:left w:val="single" w:sz="2" w:space="0" w:color="000001"/>
              <w:bottom w:val="single" w:sz="2" w:space="0" w:color="000001"/>
              <w:insideH w:val="single" w:sz="2" w:space="0" w:color="000001"/>
            </w:tcBorders>
            <w:shd w:color="auto" w:fill="auto" w:val="clear"/>
            <w:tcMar>
              <w:left w:w="36" w:type="dxa"/>
            </w:tcMar>
          </w:tcPr>
          <w:p>
            <w:pPr>
              <w:pStyle w:val="Normal"/>
              <w:rPr>
                <w:rFonts w:ascii="Times New Roman" w:hAnsi="Times New Roman" w:cs="Times New Roman"/>
                <w:sz w:val="24"/>
                <w:szCs w:val="24"/>
              </w:rPr>
            </w:pPr>
            <w:r>
              <w:rPr>
                <w:rFonts w:cs="Times New Roman" w:ascii="Times New Roman" w:hAnsi="Times New Roman"/>
                <w:sz w:val="24"/>
                <w:szCs w:val="24"/>
              </w:rPr>
              <w:t>J88E17000020004</w:t>
            </w:r>
          </w:p>
        </w:tc>
        <w:tc>
          <w:tcPr>
            <w:tcW w:w="2705" w:type="dxa"/>
            <w:tcBorders>
              <w:top w:val="single" w:sz="2" w:space="0" w:color="000001"/>
              <w:left w:val="single" w:sz="2" w:space="0" w:color="000001"/>
              <w:bottom w:val="single" w:sz="2" w:space="0" w:color="000001"/>
              <w:insideH w:val="single" w:sz="2" w:space="0" w:color="000001"/>
            </w:tcBorders>
            <w:shd w:color="auto" w:fill="auto" w:val="clear"/>
            <w:tcMar>
              <w:left w:w="36" w:type="dxa"/>
            </w:tcMar>
          </w:tcPr>
          <w:p>
            <w:pPr>
              <w:pStyle w:val="Normal"/>
              <w:rPr>
                <w:rFonts w:ascii="Times New Roman" w:hAnsi="Times New Roman" w:cs="Times New Roman"/>
                <w:sz w:val="24"/>
                <w:szCs w:val="24"/>
              </w:rPr>
            </w:pPr>
            <w:r>
              <w:rPr>
                <w:rFonts w:cs="Times New Roman" w:ascii="Times New Roman" w:hAnsi="Times New Roman"/>
                <w:sz w:val="24"/>
                <w:szCs w:val="24"/>
              </w:rPr>
              <w:t>Ampliamento terrazza Spazio Pause</w:t>
            </w:r>
          </w:p>
        </w:tc>
        <w:tc>
          <w:tcPr>
            <w:tcW w:w="120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6" w:type="dxa"/>
            </w:tcMar>
          </w:tcPr>
          <w:p>
            <w:pPr>
              <w:pStyle w:val="Contenutotabella"/>
              <w:rPr>
                <w:rFonts w:ascii="Times New Roman" w:hAnsi="Times New Roman" w:cs="Times New Roman"/>
                <w:sz w:val="24"/>
                <w:szCs w:val="24"/>
              </w:rPr>
            </w:pPr>
            <w:r>
              <w:rPr>
                <w:rFonts w:cs="Times New Roman" w:ascii="Times New Roman" w:hAnsi="Times New Roman"/>
                <w:sz w:val="24"/>
                <w:szCs w:val="24"/>
              </w:rPr>
              <w:t>200.000</w:t>
            </w:r>
          </w:p>
        </w:tc>
      </w:tr>
    </w:tbl>
    <w:p>
      <w:pPr>
        <w:pStyle w:val="Default"/>
        <w:rPr>
          <w:rFonts w:ascii="Times New Roman" w:hAnsi="Times New Roman" w:cs="Times New Roman"/>
          <w:szCs w:val="24"/>
        </w:rPr>
      </w:pPr>
      <w:r>
        <w:rPr>
          <w:rFonts w:cs="Times New Roman" w:ascii="Times New Roman" w:hAnsi="Times New Roman"/>
          <w:szCs w:val="24"/>
        </w:rPr>
      </w:r>
    </w:p>
    <w:p>
      <w:pPr>
        <w:pStyle w:val="Default"/>
        <w:ind w:left="720" w:hanging="0"/>
        <w:jc w:val="both"/>
        <w:rPr>
          <w:rFonts w:ascii="Times New Roman" w:hAnsi="Times New Roman" w:cs="Times New Roman"/>
          <w:szCs w:val="24"/>
        </w:rPr>
      </w:pPr>
      <w:r>
        <w:rPr>
          <w:rFonts w:cs="Times New Roman" w:ascii="Times New Roman" w:hAnsi="Times New Roman"/>
          <w:szCs w:val="24"/>
        </w:rPr>
        <w:t>- lo studio di fattibilità di cui sopra ribadisce l’idea di migliorare in termini di spazi e di servizi offerti all’utenza del Centro internazionale per l’infanzia; il Centro nasce da una suggestione di Loris Malaguzzi, pedagogista animatore, e si pone come un grande laboratorio capace di elaborare una nuova immagine dell’infanzia derivante dall’esperienza educativa dei Nidi e delle Scuole dell’Infanzia divenendo ben presto riferimento internazionale per la cultura educativa. Il Centro Internazionale è dunque un luogo rivolto sia ai bambini che agli adulti, destinato alla ricerca ed all’autoapprendimento del bambino, ed alla promozione del confronto con altre esperienze e con altri campi del sapere;</w:t>
      </w:r>
    </w:p>
    <w:p>
      <w:pPr>
        <w:pStyle w:val="Default"/>
        <w:jc w:val="both"/>
        <w:rPr/>
      </w:pPr>
      <w:r>
        <w:rPr/>
      </w:r>
    </w:p>
    <w:p>
      <w:pPr>
        <w:pStyle w:val="ListParagraph"/>
        <w:jc w:val="both"/>
        <w:rPr/>
      </w:pPr>
      <w:r>
        <w:rPr>
          <w:rFonts w:cs="Times New Roman" w:ascii="Times New Roman" w:hAnsi="Times New Roman"/>
          <w:sz w:val="24"/>
          <w:szCs w:val="24"/>
        </w:rPr>
        <w:t>- il Centro Internazionale dell’Infanzia Loris Malaguzzi, di proprietà del Comune, è nato dal recupero degli edifici di uno stabilimento, la ex- Locatelli, marchio agroindustriale per oltre 50 anni punto di riferimento per la città, posto nella zona nord di Reggio Emilia, a ridosso della Stazione Ferroviaria, nel quartiere di S.Croce. Lo stabilimento ha costituito un esempio di insediamento produttivo degli inizi del XX sec;</w:t>
      </w:r>
    </w:p>
    <w:p>
      <w:pPr>
        <w:pStyle w:val="ListParagraph"/>
        <w:jc w:val="both"/>
        <w:rPr/>
      </w:pPr>
      <w:r>
        <w:rPr>
          <w:rFonts w:cs="Times New Roman" w:ascii="Times New Roman" w:hAnsi="Times New Roman"/>
          <w:sz w:val="24"/>
          <w:szCs w:val="24"/>
        </w:rPr>
        <w:t>- il Centro Internazionale dell’infanzia si inserisce logisticamente in una situazione urbanistica estremamente favorevole per la sua collocazione, in rapporto alla città ed ai sistemi di mobilità urbana. Si colloca nelle adiacenze di un quartiere residenziale di edilizia popolare collegato con il Centro Storico della città attraverso percorsi pedonali e ciclabili. All’interno del Centro Internazionale vi è la presenza di un punto di ristoro, di spazi espositivi, di una sala per convegni e di una scuola dell’infanzia, elementi che hanno contribuito in modo incisivo a portare nuova vita e nuove attività di qualità, incidendo positivamente sulla qualità del quartiere;</w:t>
      </w:r>
    </w:p>
    <w:p>
      <w:pPr>
        <w:pStyle w:val="ListParagraph"/>
        <w:jc w:val="both"/>
        <w:rPr/>
      </w:pPr>
      <w:r>
        <w:rPr>
          <w:rFonts w:cs="Times New Roman" w:ascii="Times New Roman" w:hAnsi="Times New Roman"/>
          <w:sz w:val="24"/>
          <w:szCs w:val="24"/>
        </w:rPr>
        <w:t>- inoltre l’area adiacente al Centro Internazionale, ex sede delle Officine Meccaniche Reggiane, è oggetto di un vasto progetto di riqualificazione che porterà alla realizzazione del Parco Innovazione, conoscenza e creatività a supporto del sistema economico, imprenditoriale e della ricerca del territorio, prefiggendosi l’obiettivo di sviluppare l’economia della conoscenza attraverso attività di ricerca e innovazione, applicate al sistema produttivo favorendo il rafforzamento della rete dell’alta tecnologia, facilitando la nascita di imprese innovative e creando nuovi spazi per giovani ricercatori e imprenditori, al fine di dare spazio ad una ’occupazione altamente specializzata.</w:t>
      </w:r>
    </w:p>
    <w:p>
      <w:pPr>
        <w:pStyle w:val="ListParagraph"/>
        <w:jc w:val="both"/>
        <w:rPr/>
      </w:pPr>
      <w:r>
        <w:rPr>
          <w:rFonts w:cs="Times New Roman" w:ascii="Times New Roman" w:hAnsi="Times New Roman"/>
          <w:sz w:val="24"/>
          <w:szCs w:val="24"/>
        </w:rPr>
        <w:t>- nei precitati atti programmatori e di indirizzo dell’Amministrazione Comunale  è stato confermato, tra gli impegni del Comune, l'Indirizzo strategico 1- Obiettivo 2 relativo al tema del Parco dell’Innovazione, non solo come realtà infrastrutturale, ma anche come ecosistema di servizi evoluti alle imprese e alla ricerca riconosciuto dagli attori del territorio, trattandosi di un’opportunità unica e irripetibile per superare un rapporto occasionale verso il processo innovativo e attuare invece un approccio sistemico alla ricerca industriale e al trasferimento tecnologico; in tale contesto strategico si inserisce anche lo sviluppo e il consolidamento di spazi e servizi offerti dal Centro Internazionale Loris Malaguzzi a partire dallo spazio di ristoro gestito da PAUSE Atelier dei Sapori S.r.l., che per la sua collocazione logistica si vedrà fortemente coinvolto in relazione ad un inevitabile incremento in termini di numeri dell’utenza e di impegno richiesto nel migliorare la qualità del servizio offerto, creando così un luogo che costituisce di fatto un valore aggiunto per tutta la città;</w:t>
      </w:r>
    </w:p>
    <w:p>
      <w:pPr>
        <w:pStyle w:val="ListParagraph"/>
        <w:jc w:val="both"/>
        <w:rPr/>
      </w:pPr>
      <w:r>
        <w:rPr>
          <w:rFonts w:cs="Times New Roman" w:ascii="Times New Roman" w:hAnsi="Times New Roman"/>
          <w:sz w:val="24"/>
          <w:szCs w:val="24"/>
        </w:rPr>
        <w:t>- in ragione di questi obiettivi ed in relazione alla evidente esigenza di adeguare gli spazi esistenti in spazi flessibili destinati oltre che a punto costante di ristoro, ad ospitare svariate tipologie di eventi, che sempre più spesso vengono organizzati  in autonomia dal Centro o da soggetti esterni che cercano ambienti e luoghi per le loro iniziative;</w:t>
      </w:r>
    </w:p>
    <w:p>
      <w:pPr>
        <w:pStyle w:val="ListParagraph"/>
        <w:jc w:val="both"/>
        <w:rPr/>
      </w:pPr>
      <w:r>
        <w:rPr>
          <w:rFonts w:cs="Times New Roman" w:ascii="Times New Roman" w:hAnsi="Times New Roman"/>
          <w:sz w:val="24"/>
          <w:szCs w:val="24"/>
        </w:rPr>
        <w:t>- all’interno del Centro Internazionale Loris Malaguzzi trova la sua collocazione la Fondazione Reggio Children, la quale non ha scopo di lucro. La Fondazione si propone di operare come centro di ricerca nazionale ed internazionale, intervenendo su situazioni generatrici di nuove conoscenze ed innovazioni nonché con l’obiettivo di costruire e diffondere un’educazione di qualità che possa migliorare la vita delle persone in Italia ed all’estero e di agire per la promozione, lo sviluppo, il sostegno di progetti di interesse sociale e socio-educativo, di integrazione culturale a livello nazionale ed internazionale. Inoltre Fondazione Reggio Children ha come finalità quella di promuovere qualità nell’educazione anche al fine di sviluppare l’idea di educazione come fatto principalmente pubblico;</w:t>
      </w:r>
    </w:p>
    <w:p>
      <w:pPr>
        <w:pStyle w:val="ListParagraph"/>
        <w:jc w:val="both"/>
        <w:rPr/>
      </w:pPr>
      <w:r>
        <w:rPr>
          <w:rFonts w:cs="Times New Roman" w:ascii="Times New Roman" w:hAnsi="Times New Roman"/>
          <w:sz w:val="24"/>
          <w:szCs w:val="24"/>
        </w:rPr>
        <w:t xml:space="preserve">- PAUSE Atelier dei Sapori S.r.l. società controllata totalmente da Fondazione Reggio Children, è finalizzata a sviluppare la ricerca attraverso un  progetto enogastronomico dalle caratteristiche innovative; si pone come un insieme di possibilità proposte per chi desidera ristorarsi, di gustare qualcosa di particolare in modi e tempi diversi; rappresenta un luogo dove l’esperienza con il cibo si fa polisensoriale e curiosa, dove poter incontrare i sapori che più affascinano i bambini e anche gli adulti. L’Atelier dei Sapori rappresenta dunque un importante centro di ricerca sull’educazione, dove oltre a mangiare, incontrarsi, acquistare è possibile manipolare e sperimentare la relazione tra i prodotti, i gusti e i gesti con atelier sul cibo per bambini e adulti, anche in collaborazione con cuochi e professionisti provenienti da diverse realtà. Tutto questo attuato valorizzando i prodotti del territorio in dialogo con le eccellenze a livello internazionale, basandosi sempre tuttavia su tradizione e innovazione, cibo locale e di stagione, biodiversità alimentare e su trasformazioni che rispettino al massimo le caratteristiche dei prodotti. </w:t>
      </w:r>
    </w:p>
    <w:p>
      <w:pPr>
        <w:pStyle w:val="ListParagraph"/>
        <w:jc w:val="both"/>
        <w:rPr>
          <w:rFonts w:ascii="Times New Roman" w:hAnsi="Times New Roman" w:cs="Times New Roman"/>
          <w:sz w:val="24"/>
          <w:szCs w:val="24"/>
        </w:rPr>
      </w:pPr>
      <w:r>
        <w:rPr>
          <w:rFonts w:cs="Times New Roman" w:ascii="Times New Roman" w:hAnsi="Times New Roman"/>
          <w:sz w:val="24"/>
          <w:szCs w:val="24"/>
        </w:rPr>
        <w:t>- PAUSE Atelier dei Sapori S.r.l. si configura dunque come uno degli Atelier del Centro Internazionale Loris Malaguzzi, ad esso legata in modo indissolubile, come identità e funzionamento, come servizio di accoglienza e di comunicazione, ma dotata anche di una propria energia autonoma nel promuovere ricerca e innovazione nel campo della cultura del cibo.</w:t>
      </w:r>
    </w:p>
    <w:p>
      <w:pPr>
        <w:pStyle w:val="Normal"/>
        <w:ind w:left="360" w:hanging="0"/>
        <w:jc w:val="both"/>
        <w:rPr/>
      </w:pPr>
      <w:r>
        <w:rPr>
          <w:rFonts w:cs="Times New Roman" w:ascii="Times New Roman" w:hAnsi="Times New Roman"/>
          <w:sz w:val="24"/>
          <w:szCs w:val="24"/>
        </w:rPr>
        <w:t>Alla luce delle premesse di cui sopra e per dare concretamente corso all’attuazione dell’intervento di ampliamento dello spazio esterno della terrazza esterna, si sono messe in campo sinergie tra il Comune di Reggio Emilia e Pause Atelier dei Sapori srl mediante l’approvazione a cura del Consiglio di Amministrazione di PAUSE Atelier dei Sapori S.r.l.  del verbale…. n….. con il quale è stata deliberata:</w:t>
      </w:r>
    </w:p>
    <w:p>
      <w:pPr>
        <w:pStyle w:val="ListParagraph"/>
        <w:numPr>
          <w:ilvl w:val="0"/>
          <w:numId w:val="1"/>
        </w:numPr>
        <w:spacing w:before="0" w:after="0"/>
        <w:jc w:val="both"/>
        <w:rPr/>
      </w:pPr>
      <w:r>
        <w:rPr>
          <w:rFonts w:cs="Times New Roman" w:ascii="Times New Roman" w:hAnsi="Times New Roman"/>
          <w:sz w:val="24"/>
          <w:szCs w:val="24"/>
        </w:rPr>
        <w:t>l’approvazione della progettazione esecutiva e di tutti gli elaborati annessi e collegati per l’intervento di “Copertura della terrazza esterna Atelier dei Sapori nell’ambito del Centro Internazionale Loris Malaguzzi”, redatta da professionista all’uopo individuato ed incaricato, al fine di procedere alla sua realizzazione.</w:t>
      </w:r>
    </w:p>
    <w:p>
      <w:pPr>
        <w:pStyle w:val="ListParagraph"/>
        <w:numPr>
          <w:ilvl w:val="0"/>
          <w:numId w:val="1"/>
        </w:numPr>
        <w:jc w:val="both"/>
        <w:rPr/>
      </w:pPr>
      <w:r>
        <w:rPr>
          <w:rFonts w:cs="Times New Roman" w:ascii="Times New Roman" w:hAnsi="Times New Roman"/>
          <w:sz w:val="24"/>
          <w:szCs w:val="24"/>
        </w:rPr>
        <w:t>l’approvazione del presente schema di Convenzione.</w:t>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L’operazione di “Copertura della terrazza esterna Atelier dei Sapori nell’ambito del Centro Internazionale Loris Malaguzzi” contribuirà a valorizzare il patrimonio pubblico sviluppando importanti servizi di interesse generale, quali la ricerca nel settore dell’alimentazione e lo sviluppo del territorio in tale ambito.</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ind w:left="426" w:hanging="0"/>
        <w:jc w:val="both"/>
        <w:rPr/>
      </w:pPr>
      <w:r>
        <w:rPr>
          <w:rFonts w:cs="Times New Roman" w:ascii="Times New Roman" w:hAnsi="Times New Roman"/>
          <w:sz w:val="24"/>
          <w:szCs w:val="24"/>
        </w:rPr>
        <w:t>Il Comune di Reggio Emilia, in qualità di proprietario dell’immobile su cui verrà realizzato l’intervento, è il soggetto istituzionale territoriale portatore dell’interesse, congiuntamente a Pause Atelier dei sapori alla “Copertura della terrazza esterna Atelier dei Sapori nell’ambito del Centro Internazionale Loris Malaguzzi”.</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ind w:left="426" w:hanging="0"/>
        <w:jc w:val="both"/>
        <w:rPr>
          <w:rFonts w:ascii="Times New Roman" w:hAnsi="Times New Roman" w:cs="Times New Roman"/>
          <w:strike/>
          <w:sz w:val="24"/>
          <w:szCs w:val="24"/>
        </w:rPr>
      </w:pPr>
      <w:r>
        <w:rPr>
          <w:rFonts w:cs="Times New Roman" w:ascii="Times New Roman" w:hAnsi="Times New Roman"/>
          <w:sz w:val="24"/>
          <w:szCs w:val="24"/>
        </w:rPr>
        <w:t xml:space="preserve">La convergenza di interessi e la coincidenza di obiettivi dei due soggetti in campo, fanno sì che l’attuazione dell’intervento costituisca una priorità.  </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 xml:space="preserve">Pertanto, il Comune di Reggio Emilia con propria deliberazione  della  Giunta Comunale del ………..ha provveduto ad approvare lo schema  della presente Convenzione nell’intesa che con proprio successivo provvedimento darà corso a cura della Giunta Comunale  alla approvazione  del progetto esecutivo di “Copertura della terrazza esterna Atelier dei Sapori nell’ambito del Centro Internazionale Loris Malaguzzi” messo a disposizione da PAUSE </w:t>
      </w:r>
      <w:r>
        <w:rPr>
          <w:rFonts w:cs="Times New Roman" w:ascii="Times New Roman" w:hAnsi="Times New Roman"/>
          <w:sz w:val="24"/>
        </w:rPr>
        <w:t xml:space="preserve">Atelier dei Sapori S.r.l. </w:t>
      </w:r>
      <w:r>
        <w:rPr>
          <w:rFonts w:cs="Times New Roman" w:ascii="Times New Roman" w:hAnsi="Times New Roman"/>
          <w:sz w:val="24"/>
          <w:szCs w:val="24"/>
        </w:rPr>
        <w:t>al fine di consentire al Comune di dar corso al procedimento di attuazione dell’intervento, peraltro previsto nei propri strumenti di programmazione, così come individuato in premessa.</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 xml:space="preserve">In data ……. è stata acquisita, </w:t>
      </w:r>
      <w:r>
        <w:rPr>
          <w:rFonts w:cs="Times New Roman" w:ascii="Times New Roman" w:hAnsi="Times New Roman"/>
          <w:sz w:val="24"/>
        </w:rPr>
        <w:t xml:space="preserve"> </w:t>
      </w:r>
      <w:r>
        <w:rPr>
          <w:rFonts w:cs="Times New Roman" w:ascii="Times New Roman" w:hAnsi="Times New Roman"/>
          <w:sz w:val="24"/>
          <w:szCs w:val="24"/>
        </w:rPr>
        <w:t>la progettazione esecutiva</w:t>
      </w:r>
      <w:r>
        <w:rPr>
          <w:rFonts w:cs="Times New Roman" w:ascii="Times New Roman" w:hAnsi="Times New Roman"/>
        </w:rPr>
        <w:t xml:space="preserve"> dell’intervento “C</w:t>
      </w:r>
      <w:r>
        <w:rPr>
          <w:rFonts w:cs="Times New Roman" w:ascii="Times New Roman" w:hAnsi="Times New Roman"/>
          <w:sz w:val="24"/>
          <w:szCs w:val="24"/>
        </w:rPr>
        <w:t>opertura della terrazza esterna Atelier dei Sapori nell’ambito del Centro Internazionale Loris Malaguzzi”, messa a disposizione da Pause Atelier dei Sapori srl e costituita dai seguenti documenti:</w:t>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Relazione storica.</w:t>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Relazione tecnico illustrativa generale con prime indicazioni per la stesura dei piani di sicurezza.</w:t>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Quadro economico e cronoprogramma.</w:t>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Computo metrico estimativo.</w:t>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Elenco prezzi.</w:t>
      </w:r>
    </w:p>
    <w:p>
      <w:pPr>
        <w:pStyle w:val="Normal"/>
        <w:ind w:left="426" w:hanging="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ab/>
        <w:t>Elaborati grafici.</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ind w:left="426" w:hanging="0"/>
        <w:jc w:val="both"/>
        <w:rPr/>
      </w:pPr>
      <w:r>
        <w:rPr>
          <w:rFonts w:cs="Times New Roman" w:ascii="Times New Roman" w:hAnsi="Times New Roman"/>
          <w:sz w:val="24"/>
          <w:szCs w:val="24"/>
        </w:rPr>
        <w:t xml:space="preserve">La presente Convenzione è pertanto necessaria per regolare i rapporti tra il Comune di Reggio Emilia e PAUSE </w:t>
      </w:r>
      <w:r>
        <w:rPr>
          <w:rFonts w:cs="Times New Roman" w:ascii="Times New Roman" w:hAnsi="Times New Roman"/>
          <w:sz w:val="24"/>
        </w:rPr>
        <w:t xml:space="preserve">Atelier dei Sapori S.r.l. </w:t>
      </w:r>
      <w:r>
        <w:rPr>
          <w:rFonts w:cs="Times New Roman" w:ascii="Times New Roman" w:hAnsi="Times New Roman"/>
          <w:sz w:val="24"/>
          <w:szCs w:val="24"/>
        </w:rPr>
        <w:t>in relazione alla concreta attuazione dell’intervento di “Copertura della terrazza esterna Atelier dei Sapori nell’ambito del Centro Internazionale Loris Malaguzzi”, alla luce delle finalità istituzionali di ciascuno di essi e nel rispetto delle norme vigenti.</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jc w:val="center"/>
        <w:rPr/>
      </w:pPr>
      <w:r>
        <w:rPr>
          <w:rFonts w:cs="Times New Roman" w:ascii="Times New Roman" w:hAnsi="Times New Roman"/>
          <w:b/>
          <w:sz w:val="24"/>
          <w:szCs w:val="24"/>
        </w:rPr>
        <w:t>Tutto ciò premesso e considerato, si conviene e si stipula quanto segue:</w:t>
      </w:r>
    </w:p>
    <w:p>
      <w:pPr>
        <w:pStyle w:val="ListParagraph"/>
        <w:jc w:val="center"/>
        <w:rPr>
          <w:rFonts w:ascii="Times New Roman" w:hAnsi="Times New Roman" w:cs="Times New Roman"/>
          <w:b/>
          <w:b/>
          <w:sz w:val="24"/>
          <w:szCs w:val="24"/>
        </w:rPr>
      </w:pPr>
      <w:r>
        <w:rPr>
          <w:rFonts w:cs="Times New Roman" w:ascii="Times New Roman" w:hAnsi="Times New Roman"/>
          <w:b/>
          <w:sz w:val="24"/>
          <w:szCs w:val="24"/>
        </w:rPr>
      </w:r>
    </w:p>
    <w:p>
      <w:pPr>
        <w:pStyle w:val="ListParagraph"/>
        <w:jc w:val="both"/>
        <w:rPr/>
      </w:pPr>
      <w:r>
        <w:rPr>
          <w:rFonts w:cs="Times New Roman" w:ascii="Times New Roman" w:hAnsi="Times New Roman"/>
          <w:b/>
          <w:sz w:val="24"/>
          <w:szCs w:val="24"/>
        </w:rPr>
        <w:t>Art. 1 Premesse</w:t>
      </w:r>
    </w:p>
    <w:p>
      <w:pPr>
        <w:pStyle w:val="ListParagraph"/>
        <w:numPr>
          <w:ilvl w:val="0"/>
          <w:numId w:val="2"/>
        </w:numPr>
        <w:jc w:val="both"/>
        <w:rPr/>
      </w:pPr>
      <w:r>
        <w:rPr>
          <w:rFonts w:cs="Times New Roman" w:ascii="Times New Roman" w:hAnsi="Times New Roman"/>
          <w:sz w:val="24"/>
          <w:szCs w:val="24"/>
        </w:rPr>
        <w:t>Le premesse e gli allegati sono parte integrante e sostanziale della presente Convenzione.</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jc w:val="both"/>
        <w:rPr/>
      </w:pPr>
      <w:r>
        <w:rPr>
          <w:rFonts w:cs="Times New Roman" w:ascii="Times New Roman" w:hAnsi="Times New Roman"/>
          <w:b/>
          <w:sz w:val="24"/>
          <w:szCs w:val="24"/>
        </w:rPr>
        <w:t>Art. 2 Oggetto della Convenzione</w:t>
      </w:r>
    </w:p>
    <w:p>
      <w:pPr>
        <w:pStyle w:val="ListParagraph"/>
        <w:jc w:val="both"/>
        <w:rPr/>
      </w:pPr>
      <w:r>
        <w:rPr>
          <w:rFonts w:cs="Times New Roman" w:ascii="Times New Roman" w:hAnsi="Times New Roman"/>
          <w:sz w:val="24"/>
          <w:szCs w:val="24"/>
        </w:rPr>
        <w:t>Oggetto della presente Convenzione è la regolamentazione tra le Parti dei rispettivi compiti e funzioni per permettere l’attuazione dell’intervento di “Copertura della terrazza esterna Atelier dei Sapori nell’ambito del Centro Internazionale Loris Malaguzzi” (a seguire “Intervento”).</w:t>
      </w:r>
    </w:p>
    <w:p>
      <w:pPr>
        <w:pStyle w:val="ListParagraph"/>
        <w:jc w:val="both"/>
        <w:rPr/>
      </w:pPr>
      <w:r>
        <w:rPr>
          <w:rFonts w:cs="Times New Roman" w:ascii="Times New Roman" w:hAnsi="Times New Roman"/>
          <w:sz w:val="24"/>
          <w:szCs w:val="24"/>
        </w:rPr>
        <w:t>Il Comune e PAUSE</w:t>
      </w:r>
      <w:r>
        <w:rPr>
          <w:rFonts w:cs="Times New Roman" w:ascii="Times New Roman" w:hAnsi="Times New Roman"/>
          <w:sz w:val="24"/>
        </w:rPr>
        <w:t xml:space="preserve"> Atelier dei Sapori S.r.l.</w:t>
      </w:r>
      <w:r>
        <w:rPr>
          <w:rFonts w:cs="Times New Roman" w:ascii="Times New Roman" w:hAnsi="Times New Roman"/>
          <w:sz w:val="24"/>
          <w:szCs w:val="24"/>
        </w:rPr>
        <w:t>, dando atto di avere positivamente e reciprocamente verificato, la sussistenza dei presupposti di fattibilità e di sostenibilità economico-finanziaria dell’intervento, stabiliscono di collaborare alla realizzazione dell’Intervento definendo di conseguenza i rapporti e le rispettive competenze.</w:t>
      </w:r>
    </w:p>
    <w:p>
      <w:pPr>
        <w:pStyle w:val="ListParagraph"/>
        <w:jc w:val="both"/>
        <w:rPr/>
      </w:pPr>
      <w:r>
        <w:rPr>
          <w:rFonts w:cs="Times New Roman" w:ascii="Times New Roman" w:hAnsi="Times New Roman"/>
          <w:sz w:val="24"/>
          <w:szCs w:val="24"/>
        </w:rPr>
        <w:t>L’Intervento consiste nei lavori di realizzazione dell’ampliamento della copertura della terrazza esterna Atelier dei Sapori nell’ambito del Centro Internazionale Loris Malaguzzi, realizzando ed attrezzando all’uopo uno spazio che possa essere flessibile ad ospitare eventi che sempre più spesso vengono organizzati dal centro o da soggetti esterni.</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jc w:val="both"/>
        <w:rPr/>
      </w:pPr>
      <w:r>
        <w:rPr>
          <w:rFonts w:cs="Times New Roman" w:ascii="Times New Roman" w:hAnsi="Times New Roman"/>
          <w:b/>
          <w:sz w:val="24"/>
          <w:szCs w:val="24"/>
        </w:rPr>
        <w:t>Art. 3 Durata</w:t>
      </w:r>
    </w:p>
    <w:p>
      <w:pPr>
        <w:pStyle w:val="ListParagraph"/>
        <w:jc w:val="both"/>
        <w:rPr>
          <w:color w:val="00000A"/>
        </w:rPr>
      </w:pPr>
      <w:r>
        <w:rPr>
          <w:rFonts w:cs="Times New Roman" w:ascii="Times New Roman" w:hAnsi="Times New Roman"/>
          <w:color w:val="00000A"/>
          <w:sz w:val="24"/>
          <w:szCs w:val="24"/>
        </w:rPr>
        <w:t xml:space="preserve">La presente Convenzione ed i suoi allegati, il cui schema è stato approvato con delibera di Giunta Comunale I.D.  …….. e con verbale del Consiglio di Amministrazione di PAUSE </w:t>
      </w:r>
      <w:r>
        <w:rPr>
          <w:rFonts w:cs="Times New Roman" w:ascii="Times New Roman" w:hAnsi="Times New Roman"/>
          <w:color w:val="00000A"/>
          <w:sz w:val="24"/>
        </w:rPr>
        <w:t xml:space="preserve">Atelier dei Sapori S.r.l. </w:t>
      </w:r>
      <w:r>
        <w:rPr>
          <w:rFonts w:cs="Times New Roman" w:ascii="Times New Roman" w:hAnsi="Times New Roman"/>
          <w:color w:val="00000A"/>
          <w:sz w:val="24"/>
          <w:szCs w:val="24"/>
        </w:rPr>
        <w:t>del ………., sarà esecutiva dalla data di sottoscrizione e terminerà i suoi effetti ad avvenuto collaudo dell’Intervento, che dovrà avvenire entro e non oltre il …………..</w:t>
      </w:r>
    </w:p>
    <w:p>
      <w:pPr>
        <w:pStyle w:val="ListParagraph"/>
        <w:jc w:val="both"/>
        <w:rPr>
          <w:color w:val="00000A"/>
        </w:rPr>
      </w:pPr>
      <w:r>
        <w:rPr>
          <w:rFonts w:cs="Times New Roman" w:ascii="Times New Roman" w:hAnsi="Times New Roman"/>
          <w:color w:val="00000A"/>
          <w:sz w:val="24"/>
          <w:szCs w:val="24"/>
        </w:rPr>
        <w:t>La procedura di affidamento dei lavori in oggetto potrà essere attivata solo ad avvenuta formale stipula mediante sottoscrizione della presente Convenzione, nonché a seguito della  approvazione della progettazione esecutiva, previa verifica e validazione del progetto esecutivo, redatto su incarico di PAUSE</w:t>
      </w:r>
      <w:r>
        <w:rPr>
          <w:rFonts w:cs="Times New Roman" w:ascii="Times New Roman" w:hAnsi="Times New Roman"/>
          <w:color w:val="00000A"/>
          <w:sz w:val="24"/>
        </w:rPr>
        <w:t xml:space="preserve"> Atelier dei Sapori S.r.l.</w:t>
      </w:r>
      <w:r>
        <w:rPr>
          <w:rFonts w:cs="Times New Roman" w:ascii="Times New Roman" w:hAnsi="Times New Roman"/>
          <w:color w:val="00000A"/>
          <w:sz w:val="24"/>
          <w:szCs w:val="24"/>
        </w:rPr>
        <w:t>, ed acquisita agli atti del Comune, da approvarsi con deliberazione della Giunta Comunale.</w:t>
      </w:r>
    </w:p>
    <w:p>
      <w:pPr>
        <w:pStyle w:val="ListParagraph"/>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jc w:val="both"/>
        <w:rPr/>
      </w:pPr>
      <w:r>
        <w:rPr>
          <w:rFonts w:cs="Times New Roman" w:ascii="Times New Roman" w:hAnsi="Times New Roman"/>
          <w:b/>
          <w:sz w:val="24"/>
          <w:szCs w:val="24"/>
        </w:rPr>
        <w:t>Art. 4 Finanziamenti, rendicontazione dell’Intervento e vigilanza</w:t>
      </w:r>
    </w:p>
    <w:p>
      <w:pPr>
        <w:pStyle w:val="ListParagraph"/>
        <w:jc w:val="both"/>
        <w:rPr>
          <w:rFonts w:ascii="Times New Roman" w:hAnsi="Times New Roman" w:cs="Times New Roman"/>
          <w:sz w:val="24"/>
          <w:szCs w:val="24"/>
        </w:rPr>
      </w:pPr>
      <w:r>
        <w:rPr>
          <w:rFonts w:cs="Times New Roman" w:ascii="Times New Roman" w:hAnsi="Times New Roman"/>
          <w:sz w:val="24"/>
          <w:szCs w:val="24"/>
        </w:rPr>
        <w:t>Il titolare della progettazione è PAUSE</w:t>
      </w:r>
      <w:r>
        <w:rPr>
          <w:rFonts w:cs="Times New Roman" w:ascii="Times New Roman" w:hAnsi="Times New Roman"/>
          <w:sz w:val="24"/>
        </w:rPr>
        <w:t xml:space="preserve"> Atelier dei Sapori S.r.l.</w:t>
      </w:r>
      <w:r>
        <w:rPr>
          <w:rFonts w:cs="Times New Roman" w:ascii="Times New Roman" w:hAnsi="Times New Roman"/>
          <w:sz w:val="24"/>
          <w:szCs w:val="24"/>
        </w:rPr>
        <w:t>, avendo quest’ultima affidato e finanziato le prestazioni tecniche a professionisti esterni dalla stessa individuati, di cui ai seguenti incarichi:</w:t>
      </w:r>
    </w:p>
    <w:p>
      <w:pPr>
        <w:pStyle w:val="ListParagraph"/>
        <w:jc w:val="both"/>
        <w:rPr>
          <w:rFonts w:ascii="Times New Roman" w:hAnsi="Times New Roman" w:cs="Times New Roman"/>
          <w:sz w:val="24"/>
          <w:szCs w:val="24"/>
        </w:rPr>
      </w:pPr>
      <w:r>
        <w:rPr>
          <w:rFonts w:cs="Times New Roman" w:ascii="Times New Roman" w:hAnsi="Times New Roman"/>
          <w:sz w:val="24"/>
          <w:szCs w:val="24"/>
        </w:rPr>
        <w:t>- progettazione esecutiva, incarico del 03/10/2018;</w:t>
      </w:r>
    </w:p>
    <w:p>
      <w:pPr>
        <w:pStyle w:val="ListParagraph"/>
        <w:jc w:val="both"/>
        <w:rPr>
          <w:rFonts w:ascii="Times New Roman" w:hAnsi="Times New Roman" w:cs="Times New Roman"/>
          <w:sz w:val="24"/>
          <w:szCs w:val="24"/>
        </w:rPr>
      </w:pPr>
      <w:r>
        <w:rPr>
          <w:rFonts w:cs="Times New Roman" w:ascii="Times New Roman" w:hAnsi="Times New Roman"/>
          <w:sz w:val="24"/>
          <w:szCs w:val="24"/>
        </w:rPr>
        <w:t>- progettazione degli impianti meccanici e attività correlate alla legge 10/1991 per il rispetto del contenimento dei consumi energetici, incarico del 03/10/2018;</w:t>
      </w:r>
    </w:p>
    <w:p>
      <w:pPr>
        <w:pStyle w:val="ListParagraph"/>
        <w:jc w:val="both"/>
        <w:rPr>
          <w:rFonts w:ascii="Times New Roman" w:hAnsi="Times New Roman" w:cs="Times New Roman"/>
          <w:sz w:val="24"/>
          <w:szCs w:val="24"/>
        </w:rPr>
      </w:pPr>
      <w:r>
        <w:rPr>
          <w:rFonts w:cs="Times New Roman" w:ascii="Times New Roman" w:hAnsi="Times New Roman"/>
          <w:sz w:val="24"/>
          <w:szCs w:val="24"/>
        </w:rPr>
        <w:t>- preventivazione e contabilità dell’intervento;</w:t>
      </w:r>
    </w:p>
    <w:p>
      <w:pPr>
        <w:pStyle w:val="ListParagraph"/>
        <w:jc w:val="both"/>
        <w:rPr/>
      </w:pPr>
      <w:r>
        <w:rPr>
          <w:rFonts w:cs="Times New Roman" w:ascii="Times New Roman" w:hAnsi="Times New Roman"/>
          <w:sz w:val="24"/>
          <w:szCs w:val="24"/>
        </w:rPr>
        <w:t>- coordinamento della sicurezza in fase di progettazione ed esecuzione, incarico del 19/11/2018.</w:t>
      </w:r>
    </w:p>
    <w:p>
      <w:pPr>
        <w:pStyle w:val="ListParagraph"/>
        <w:jc w:val="both"/>
        <w:rPr/>
      </w:pPr>
      <w:r>
        <w:rPr>
          <w:rFonts w:cs="Times New Roman" w:ascii="Times New Roman" w:hAnsi="Times New Roman"/>
          <w:sz w:val="24"/>
          <w:szCs w:val="24"/>
        </w:rPr>
        <w:t>La realizzazione dell’Intervento avverrà a cura e spese del Comune, proprietario dell’immobile su cui verrà realizzato</w:t>
      </w:r>
      <w:r>
        <w:rPr/>
        <w:t xml:space="preserve"> </w:t>
      </w:r>
      <w:r>
        <w:rPr>
          <w:rFonts w:cs="Times New Roman" w:ascii="Times New Roman" w:hAnsi="Times New Roman"/>
          <w:sz w:val="24"/>
          <w:szCs w:val="24"/>
        </w:rPr>
        <w:t>l’ampliamento nei limiti della spesa finanziata dall’intervento inserito negli strumenti di programmazione del Comune approvati dal Consiglio Comunale.</w:t>
      </w:r>
    </w:p>
    <w:p>
      <w:pPr>
        <w:pStyle w:val="ListParagraph"/>
        <w:jc w:val="both"/>
        <w:rPr/>
      </w:pPr>
      <w:r>
        <w:rPr>
          <w:rFonts w:cs="Times New Roman" w:ascii="Times New Roman" w:hAnsi="Times New Roman"/>
          <w:iCs/>
          <w:sz w:val="24"/>
          <w:szCs w:val="24"/>
        </w:rPr>
        <w:t>L’appalto sarà in un unico lotto</w:t>
      </w:r>
      <w:r>
        <w:rPr>
          <w:rFonts w:cs="Times New Roman" w:ascii="Times New Roman" w:hAnsi="Times New Roman"/>
          <w:sz w:val="24"/>
          <w:szCs w:val="24"/>
        </w:rPr>
        <w:t>.</w:t>
      </w:r>
    </w:p>
    <w:p>
      <w:pPr>
        <w:pStyle w:val="ListParagraph"/>
        <w:jc w:val="both"/>
        <w:rPr>
          <w:color w:val="00000A"/>
        </w:rPr>
      </w:pPr>
      <w:r>
        <w:rPr>
          <w:rFonts w:cs="Times New Roman" w:ascii="Times New Roman" w:hAnsi="Times New Roman"/>
          <w:sz w:val="24"/>
          <w:szCs w:val="24"/>
        </w:rPr>
        <w:t xml:space="preserve">Il Comune provvederà all’espletamento della procedura di gara per l’affidamento dell’Intervento svolgendo poi attività di vigilanza sulla concreta realizzazione dello stesso in particolare in relazione ai procedimenti amministrativi necessari per l’espletamento della gara, alla esecuzione e contabilizzazione dei lavori, impegnandosi a mantenere la destinazione d’uso </w:t>
      </w:r>
      <w:r>
        <w:rPr>
          <w:rFonts w:cs="Times New Roman" w:ascii="Times New Roman" w:hAnsi="Times New Roman"/>
          <w:color w:val="00000A"/>
          <w:sz w:val="24"/>
          <w:szCs w:val="24"/>
        </w:rPr>
        <w:t>attuale sino alla data di conclusione dei lavori e comunque sino allo scadere degli accordi in essere con Pause Atelier dei Sapori srl.</w:t>
      </w:r>
    </w:p>
    <w:p>
      <w:pPr>
        <w:pStyle w:val="ListParagraph"/>
        <w:ind w:left="1080"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jc w:val="both"/>
        <w:rPr/>
      </w:pPr>
      <w:r>
        <w:rPr>
          <w:rFonts w:cs="Times New Roman" w:ascii="Times New Roman" w:hAnsi="Times New Roman"/>
          <w:b/>
          <w:sz w:val="24"/>
          <w:szCs w:val="24"/>
        </w:rPr>
        <w:t>Art. 5 IMPEGNI FRA LE PARTI</w:t>
      </w:r>
    </w:p>
    <w:p>
      <w:pPr>
        <w:pStyle w:val="ListParagraph"/>
        <w:jc w:val="both"/>
        <w:rPr>
          <w:rFonts w:ascii="Times New Roman" w:hAnsi="Times New Roman" w:cs="Times New Roman"/>
          <w:sz w:val="24"/>
          <w:szCs w:val="24"/>
          <w:highlight w:val="yellow"/>
        </w:rPr>
      </w:pPr>
      <w:r>
        <w:rPr>
          <w:rFonts w:cs="Times New Roman" w:ascii="Times New Roman" w:hAnsi="Times New Roman"/>
          <w:sz w:val="24"/>
          <w:szCs w:val="24"/>
        </w:rPr>
        <w:t xml:space="preserve">Le Parti danno atto di avere condiviso la progettazione esecutiva dell’Intervento, come si rileva dai rispettivi atti di approvazione dello stesso, e precisamente per quanto riguarda PAUSE Atelier dei Sapori S.r.l. con delibera del Consiglio di Amministrazione del ……… e per quanto riguarda il Comune con Delibera di Giunta del ………..  </w:t>
      </w:r>
    </w:p>
    <w:p>
      <w:pPr>
        <w:pStyle w:val="ListParagraph"/>
        <w:jc w:val="both"/>
        <w:rPr/>
      </w:pPr>
      <w:r>
        <w:rPr>
          <w:rFonts w:cs="Times New Roman" w:ascii="Times New Roman" w:hAnsi="Times New Roman"/>
          <w:sz w:val="24"/>
          <w:szCs w:val="24"/>
        </w:rPr>
        <w:t>Il Comune si impegna a dare corso alla realizzazione dell’Intervento di “Copertura della terrazza esterna Atelier dei Sapori nell’ambito del Centro Internazionale Loris Malaguzzi”, previa individuazione, in conformità alle vigenti disposizioni di legge e regolamentari,</w:t>
      </w:r>
      <w:r>
        <w:rPr/>
        <w:t xml:space="preserve"> </w:t>
      </w:r>
      <w:r>
        <w:rPr>
          <w:rFonts w:cs="Times New Roman" w:ascii="Times New Roman" w:hAnsi="Times New Roman"/>
          <w:sz w:val="24"/>
          <w:szCs w:val="24"/>
        </w:rPr>
        <w:t>e mediante l’espletamento delle idonee procedure di gara, dell’impresa incaricata della predetta realizzazione.</w:t>
      </w:r>
    </w:p>
    <w:p>
      <w:pPr>
        <w:pStyle w:val="ListParagraph"/>
        <w:jc w:val="both"/>
        <w:rPr/>
      </w:pPr>
      <w:r>
        <w:rPr>
          <w:rFonts w:cs="Times New Roman" w:ascii="Times New Roman" w:hAnsi="Times New Roman"/>
          <w:sz w:val="24"/>
          <w:szCs w:val="24"/>
        </w:rPr>
        <w:t>Il Comune svolgerà il ruolo di Stazione appaltante, ai sensi del D.lgs. 50/2016 e s.m.i., per l’espletamento dei lavori pubblici di cui all’Intervento, come definiti nella progettazione esecutiva approvata, nominando all’uopo il R.U.P., ai sensi dell’art. 31 del D.lgs. 50/2016 e s.m.i.</w:t>
      </w:r>
    </w:p>
    <w:p>
      <w:pPr>
        <w:pStyle w:val="ListParagraph"/>
        <w:jc w:val="both"/>
        <w:rPr/>
      </w:pPr>
      <w:r>
        <w:rPr>
          <w:rFonts w:cs="Times New Roman" w:ascii="Times New Roman" w:hAnsi="Times New Roman"/>
          <w:sz w:val="24"/>
          <w:szCs w:val="24"/>
        </w:rPr>
        <w:t xml:space="preserve"> </w:t>
      </w:r>
      <w:r>
        <w:rPr>
          <w:rFonts w:cs="Times New Roman" w:ascii="Times New Roman" w:hAnsi="Times New Roman"/>
          <w:sz w:val="24"/>
          <w:szCs w:val="24"/>
        </w:rPr>
        <w:t xml:space="preserve">PAUSE </w:t>
      </w:r>
      <w:r>
        <w:rPr>
          <w:rFonts w:cs="Times New Roman" w:ascii="Times New Roman" w:hAnsi="Times New Roman"/>
          <w:sz w:val="24"/>
        </w:rPr>
        <w:t>Atelier dei Sapori S.r.l. mette in disponibilità al Comune, soggetto attuatore dell’Intervento</w:t>
      </w:r>
      <w:r>
        <w:rPr>
          <w:rFonts w:cs="Times New Roman" w:ascii="Times New Roman" w:hAnsi="Times New Roman"/>
          <w:sz w:val="24"/>
          <w:szCs w:val="24"/>
        </w:rPr>
        <w:t xml:space="preserve"> la progettazione esecutiva acquisita a propria cura e spese, mentre la relativa verifica e validazione saranno svolte dal R.U.P., nominato dal Comune.</w:t>
      </w:r>
    </w:p>
    <w:p>
      <w:pPr>
        <w:pStyle w:val="ListParagraph"/>
        <w:jc w:val="both"/>
        <w:rPr/>
      </w:pPr>
      <w:r>
        <w:rPr>
          <w:rFonts w:cs="Times New Roman" w:ascii="Times New Roman" w:hAnsi="Times New Roman"/>
          <w:sz w:val="24"/>
          <w:szCs w:val="24"/>
        </w:rPr>
        <w:t>Il Comune si impegna quindi ad operare, quale Stazione appaltante, nel rispetto dei principi di economicità, trasparenza, efficacia, pubblicità, libera concorrenza e non discriminazione nonché nel rispetto della normativa comunitaria e nazionale vigente in materia di contratti pubblici di lavori e della contrattazione collettiva in materia di lavoro.</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jc w:val="both"/>
        <w:rPr/>
      </w:pPr>
      <w:r>
        <w:rPr>
          <w:rFonts w:cs="Times New Roman" w:ascii="Times New Roman" w:hAnsi="Times New Roman"/>
          <w:sz w:val="24"/>
          <w:szCs w:val="24"/>
        </w:rPr>
        <w:t>La Direzione Lavori ed il coordinamento per la sicurezza in fase di esecuzione verranno eseguite in</w:t>
      </w:r>
      <w:r>
        <w:rPr>
          <w:rFonts w:cs="Times New Roman" w:ascii="Times New Roman" w:hAnsi="Times New Roman"/>
          <w:b/>
          <w:sz w:val="24"/>
          <w:szCs w:val="24"/>
        </w:rPr>
        <w:t xml:space="preserve"> </w:t>
      </w:r>
      <w:r>
        <w:rPr>
          <w:rFonts w:cs="Times New Roman" w:ascii="Times New Roman" w:hAnsi="Times New Roman"/>
          <w:sz w:val="24"/>
          <w:szCs w:val="24"/>
        </w:rPr>
        <w:t>base agli incarichi sopra citati, conferiti da PAUSE Atelier dei Sapori S.r.l., la quale provvederà a corrispondere direttamente i compensi stabiliti dagli atti di incarico, dovuti ai professionisti per lo svolgimento di tali attività, manlevando per l’effetto il Comune da qualunque pretesa mossa dai professionisti in merito all’oggetto dei relativi incarichi.</w:t>
      </w:r>
    </w:p>
    <w:p>
      <w:pPr>
        <w:pStyle w:val="ListParagraph"/>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jc w:val="both"/>
        <w:rPr/>
      </w:pPr>
      <w:r>
        <w:rPr>
          <w:rFonts w:cs="Times New Roman" w:ascii="Times New Roman" w:hAnsi="Times New Roman"/>
          <w:b/>
          <w:sz w:val="24"/>
          <w:szCs w:val="24"/>
        </w:rPr>
        <w:t>Art. 6 Varianti in corso d’opera</w:t>
      </w:r>
    </w:p>
    <w:p>
      <w:pPr>
        <w:pStyle w:val="ListParagraph"/>
        <w:jc w:val="both"/>
        <w:rPr/>
      </w:pPr>
      <w:r>
        <w:rPr>
          <w:rFonts w:cs="Times New Roman" w:ascii="Times New Roman" w:hAnsi="Times New Roman"/>
          <w:sz w:val="24"/>
          <w:szCs w:val="24"/>
        </w:rPr>
        <w:t>Saranno consentite, nei limiti di legge, varianti in corso d’opera alla progettazione esecutiva nel solo caso in cui le stesse siano approvate da entrambe le Parti tramite atto scritto.</w:t>
      </w:r>
    </w:p>
    <w:p>
      <w:pPr>
        <w:pStyle w:val="ListParagraph"/>
        <w:jc w:val="both"/>
        <w:rPr/>
      </w:pPr>
      <w:r>
        <w:rPr>
          <w:rFonts w:cs="Times New Roman" w:ascii="Times New Roman" w:hAnsi="Times New Roman"/>
          <w:sz w:val="24"/>
          <w:szCs w:val="24"/>
        </w:rPr>
        <w:t>Il Comune si impegna ad autorizzare eventuali varianti in corso d’opera  anche utilizzando eventuali ribassi risultanti dalla procedura di gara per l’affidamento dei lavori, alle condizioni che le varianti devono essere di lieve entità e non possono modificare le finalità dell’Intervento, devono prevedere interventi ammissibili ai sensi della normativa vigente in materia di lavori pubblici e di contabilità; l’uso della variante a ribasso d’asta per finanziare la variante in corso d’opera deve prevedere una formale rideterminazione del quadro economico progettuale da parte dell’organo competente, che dovrà essere trasmessa per opportuna conoscenza dal Comune a PAUSE Atelier dei Sapori S.r.l..</w:t>
      </w:r>
    </w:p>
    <w:p>
      <w:pPr>
        <w:pStyle w:val="ListParagraph"/>
        <w:jc w:val="both"/>
        <w:rPr/>
      </w:pPr>
      <w:r>
        <w:rPr>
          <w:rFonts w:cs="Times New Roman" w:ascii="Times New Roman" w:hAnsi="Times New Roman"/>
          <w:sz w:val="24"/>
          <w:szCs w:val="24"/>
        </w:rPr>
        <w:t>Per la disciplina e la definizione delle varianti in corso d’opera si rinvia alla normativa in materia di contratti pubblici.</w:t>
      </w:r>
    </w:p>
    <w:p>
      <w:pPr>
        <w:pStyle w:val="ListParagraph"/>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jc w:val="both"/>
        <w:rPr/>
      </w:pPr>
      <w:r>
        <w:rPr>
          <w:rFonts w:cs="Times New Roman" w:ascii="Times New Roman" w:hAnsi="Times New Roman"/>
          <w:b/>
          <w:sz w:val="24"/>
          <w:szCs w:val="24"/>
        </w:rPr>
        <w:t>Art. 7 CUP</w:t>
      </w:r>
    </w:p>
    <w:p>
      <w:pPr>
        <w:pStyle w:val="ListParagraph"/>
        <w:jc w:val="both"/>
        <w:rPr/>
      </w:pPr>
      <w:r>
        <w:rPr>
          <w:rFonts w:cs="Times New Roman" w:ascii="Times New Roman" w:hAnsi="Times New Roman"/>
          <w:sz w:val="24"/>
          <w:szCs w:val="24"/>
        </w:rPr>
        <w:t xml:space="preserve">La richiesta del </w:t>
      </w:r>
      <w:r>
        <w:rPr>
          <w:rFonts w:cs="Times New Roman" w:ascii="Times New Roman" w:hAnsi="Times New Roman"/>
          <w:sz w:val="24"/>
        </w:rPr>
        <w:t xml:space="preserve">Codice Unico di Progetto è stata richiesta in sede di inserimento nei propri strumenti di programmazione dal Comune quale proprietario dell’immobile ed ha il seguente numero: </w:t>
      </w:r>
      <w:r>
        <w:rPr>
          <w:rFonts w:cs="Times New Roman" w:ascii="Times New Roman" w:hAnsi="Times New Roman"/>
          <w:bCs/>
          <w:sz w:val="24"/>
        </w:rPr>
        <w:t>J88E17000020004</w:t>
      </w:r>
      <w:r>
        <w:rPr>
          <w:rFonts w:cs="Times New Roman" w:ascii="Times New Roman" w:hAnsi="Times New Roman"/>
          <w:sz w:val="24"/>
          <w:szCs w:val="24"/>
        </w:rPr>
        <w:t>. Il Comune sarà responsabile per la rendicontazione ai fini del CUP.</w:t>
      </w:r>
    </w:p>
    <w:p>
      <w:pPr>
        <w:pStyle w:val="ListParagraph"/>
        <w:ind w:left="1080" w:hanging="0"/>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pPr>
      <w:r>
        <w:rPr>
          <w:rFonts w:cs="Times New Roman" w:ascii="Times New Roman" w:hAnsi="Times New Roman"/>
          <w:b/>
          <w:sz w:val="24"/>
          <w:szCs w:val="24"/>
        </w:rPr>
        <w:t xml:space="preserve">           </w:t>
      </w:r>
      <w:bookmarkStart w:id="0" w:name="_GoBack"/>
      <w:bookmarkEnd w:id="0"/>
      <w:r>
        <w:rPr>
          <w:rFonts w:cs="Times New Roman" w:ascii="Times New Roman" w:hAnsi="Times New Roman"/>
          <w:b/>
          <w:sz w:val="24"/>
          <w:szCs w:val="24"/>
        </w:rPr>
        <w:t>Art. 8 Tolleranza</w:t>
      </w:r>
    </w:p>
    <w:p>
      <w:pPr>
        <w:pStyle w:val="Normal"/>
        <w:ind w:left="633" w:hanging="0"/>
        <w:jc w:val="both"/>
        <w:rPr>
          <w:rFonts w:ascii="Times New Roman" w:hAnsi="Times New Roman" w:cs="Times New Roman"/>
          <w:spacing w:val="1"/>
          <w:sz w:val="24"/>
          <w:szCs w:val="24"/>
        </w:rPr>
      </w:pPr>
      <w:r>
        <w:rPr>
          <w:rFonts w:cs="Times New Roman" w:ascii="Times New Roman" w:hAnsi="Times New Roman"/>
          <w:sz w:val="24"/>
          <w:szCs w:val="24"/>
        </w:rPr>
        <w:t xml:space="preserve">L’eventuale tolleranza di una delle Parti a comportamenti posti in </w:t>
      </w:r>
      <w:r>
        <w:rPr>
          <w:rFonts w:cs="Times New Roman" w:ascii="Times New Roman" w:hAnsi="Times New Roman"/>
          <w:spacing w:val="-1"/>
          <w:sz w:val="24"/>
          <w:szCs w:val="24"/>
        </w:rPr>
        <w:t xml:space="preserve">essere in violazione delle disposizioni contenute nella presente Convenzione non costituirà </w:t>
      </w:r>
      <w:r>
        <w:rPr>
          <w:rFonts w:cs="Times New Roman" w:ascii="Times New Roman" w:hAnsi="Times New Roman"/>
          <w:sz w:val="24"/>
          <w:szCs w:val="24"/>
        </w:rPr>
        <w:t xml:space="preserve">rinuncia ai diritti derivanti dalle disposizioni violate né al diritto di esigere </w:t>
      </w:r>
      <w:r>
        <w:rPr>
          <w:rFonts w:cs="Times New Roman" w:ascii="Times New Roman" w:hAnsi="Times New Roman"/>
          <w:spacing w:val="1"/>
          <w:sz w:val="24"/>
          <w:szCs w:val="24"/>
        </w:rPr>
        <w:t>l’esatto adempimento di tutti i termini e le condizioni ivi previsti.</w:t>
      </w:r>
    </w:p>
    <w:p>
      <w:pPr>
        <w:pStyle w:val="ListParagraph"/>
        <w:ind w:left="993" w:hanging="360"/>
        <w:jc w:val="both"/>
        <w:rPr/>
      </w:pPr>
      <w:r>
        <w:rPr/>
      </w:r>
    </w:p>
    <w:p>
      <w:pPr>
        <w:pStyle w:val="Standard"/>
        <w:spacing w:before="0" w:after="0"/>
        <w:ind w:firstLine="633"/>
        <w:jc w:val="both"/>
        <w:rPr/>
      </w:pPr>
      <w:r>
        <w:rPr>
          <w:rFonts w:cs="Times New Roman" w:ascii="Times New Roman" w:hAnsi="Times New Roman"/>
          <w:b/>
          <w:spacing w:val="1"/>
          <w:sz w:val="24"/>
          <w:szCs w:val="24"/>
        </w:rPr>
        <w:t>Art. 9 Comunicazioni</w:t>
      </w:r>
    </w:p>
    <w:p>
      <w:pPr>
        <w:pStyle w:val="Normal"/>
        <w:ind w:left="633" w:hanging="0"/>
        <w:jc w:val="both"/>
        <w:rPr/>
      </w:pPr>
      <w:r>
        <w:rPr>
          <w:rFonts w:cs="Times New Roman" w:ascii="Times New Roman" w:hAnsi="Times New Roman"/>
          <w:sz w:val="24"/>
          <w:szCs w:val="24"/>
        </w:rPr>
        <w:t>Tutte le comunicazioni, intimazioni e notizie da inviarsi da una Parte all’altra, ai sensi e per gli effetti della presente Convenzione, si intenderanno regolarmente effettuate se fatte per lettera consegnata personalmente, raccomandata a/r, ovvero per telegramma ovvero telefax, fatti recapitare agli indirizzi di ciascuno dei componenti delle Parti come indicati a seguire:</w:t>
      </w:r>
    </w:p>
    <w:p>
      <w:pPr>
        <w:pStyle w:val="Normal"/>
        <w:ind w:firstLine="633"/>
        <w:jc w:val="both"/>
        <w:rPr/>
      </w:pPr>
      <w:r>
        <w:rPr>
          <w:rFonts w:cs="Times New Roman" w:ascii="Times New Roman" w:hAnsi="Times New Roman"/>
          <w:sz w:val="24"/>
          <w:szCs w:val="24"/>
        </w:rPr>
        <w:t>Per il Comune:</w:t>
      </w:r>
    </w:p>
    <w:p>
      <w:pPr>
        <w:pStyle w:val="ListParagraph"/>
        <w:ind w:left="993" w:hanging="0"/>
        <w:jc w:val="both"/>
        <w:rPr/>
      </w:pPr>
      <w:r>
        <w:rPr>
          <w:rFonts w:cs="Times New Roman" w:ascii="Times New Roman" w:hAnsi="Times New Roman"/>
          <w:sz w:val="24"/>
          <w:szCs w:val="24"/>
        </w:rPr>
        <w:t>Tel: 0522 456539</w:t>
      </w:r>
    </w:p>
    <w:p>
      <w:pPr>
        <w:pStyle w:val="ListParagraph"/>
        <w:ind w:left="993" w:hanging="0"/>
        <w:jc w:val="both"/>
        <w:rPr/>
      </w:pPr>
      <w:r>
        <w:rPr>
          <w:rFonts w:cs="Times New Roman" w:ascii="Times New Roman" w:hAnsi="Times New Roman"/>
          <w:sz w:val="24"/>
          <w:szCs w:val="24"/>
        </w:rPr>
        <w:t>Fax: 0522 434255</w:t>
      </w:r>
    </w:p>
    <w:p>
      <w:pPr>
        <w:pStyle w:val="ListParagraph"/>
        <w:ind w:left="993" w:hanging="0"/>
        <w:jc w:val="both"/>
        <w:rPr/>
      </w:pPr>
      <w:r>
        <w:rPr>
          <w:rFonts w:cs="Times New Roman" w:ascii="Times New Roman" w:hAnsi="Times New Roman"/>
          <w:sz w:val="24"/>
          <w:szCs w:val="24"/>
          <w:lang w:val="fr-FR"/>
        </w:rPr>
        <w:t xml:space="preserve">Pec: </w:t>
      </w:r>
      <w:hyperlink r:id="rId2">
        <w:r>
          <w:rPr>
            <w:rStyle w:val="CollegamentoInternet"/>
            <w:rFonts w:cs="Times New Roman" w:ascii="Times New Roman" w:hAnsi="Times New Roman"/>
            <w:sz w:val="24"/>
            <w:szCs w:val="24"/>
            <w:lang w:val="fr-FR"/>
          </w:rPr>
          <w:t>comune.reggioemilia@pec.re.it</w:t>
        </w:r>
      </w:hyperlink>
    </w:p>
    <w:p>
      <w:pPr>
        <w:pStyle w:val="ListParagraph"/>
        <w:ind w:left="993" w:hanging="0"/>
        <w:jc w:val="both"/>
        <w:rPr/>
      </w:pPr>
      <w:r>
        <w:rPr>
          <w:rFonts w:cs="Times New Roman" w:ascii="Times New Roman" w:hAnsi="Times New Roman"/>
          <w:sz w:val="24"/>
          <w:szCs w:val="24"/>
        </w:rPr>
        <w:t xml:space="preserve">Indirizzo: Comune di Reggio Emilia </w:t>
      </w:r>
      <w:r>
        <w:rPr>
          <w:rStyle w:val="Streetaddress"/>
          <w:rFonts w:cs="Times New Roman" w:ascii="Times New Roman" w:hAnsi="Times New Roman"/>
          <w:color w:val="444444"/>
          <w:sz w:val="24"/>
          <w:szCs w:val="24"/>
          <w:shd w:fill="auto" w:val="clear"/>
        </w:rPr>
        <w:t>Piazza Prampolini 1</w:t>
      </w:r>
      <w:r>
        <w:rPr>
          <w:rFonts w:cs="Times New Roman" w:ascii="Times New Roman" w:hAnsi="Times New Roman"/>
          <w:color w:val="444444"/>
          <w:sz w:val="24"/>
          <w:szCs w:val="24"/>
          <w:shd w:fill="auto" w:val="clear"/>
        </w:rPr>
        <w:t> - 42121 </w:t>
      </w:r>
      <w:r>
        <w:rPr>
          <w:rStyle w:val="Locality"/>
          <w:rFonts w:cs="Times New Roman" w:ascii="Times New Roman" w:hAnsi="Times New Roman"/>
          <w:color w:val="444444"/>
          <w:sz w:val="24"/>
          <w:szCs w:val="24"/>
          <w:shd w:fill="auto" w:val="clear"/>
        </w:rPr>
        <w:t>Reggio Nell'Emilia (RE).</w:t>
      </w:r>
    </w:p>
    <w:p>
      <w:pPr>
        <w:pStyle w:val="ListParagraph"/>
        <w:jc w:val="both"/>
        <w:rPr>
          <w:highlight w:val="cyan"/>
        </w:rPr>
      </w:pPr>
      <w:r>
        <w:rPr>
          <w:rFonts w:cs="Times New Roman" w:ascii="Times New Roman" w:hAnsi="Times New Roman"/>
          <w:sz w:val="24"/>
          <w:szCs w:val="24"/>
        </w:rPr>
        <w:t>Per PAUSE</w:t>
      </w:r>
      <w:r>
        <w:rPr>
          <w:rFonts w:cs="Times New Roman" w:ascii="Times New Roman" w:hAnsi="Times New Roman"/>
          <w:sz w:val="24"/>
        </w:rPr>
        <w:t xml:space="preserve"> Atelier dei Sapori S.r.l.</w:t>
      </w:r>
      <w:r>
        <w:rPr>
          <w:rFonts w:cs="Times New Roman" w:ascii="Times New Roman" w:hAnsi="Times New Roman"/>
          <w:sz w:val="24"/>
          <w:szCs w:val="24"/>
        </w:rPr>
        <w:t>:</w:t>
      </w:r>
    </w:p>
    <w:p>
      <w:pPr>
        <w:pStyle w:val="ListParagraph"/>
        <w:ind w:left="993" w:hanging="0"/>
        <w:jc w:val="both"/>
        <w:rPr>
          <w:highlight w:val="cyan"/>
        </w:rPr>
      </w:pPr>
      <w:r>
        <w:rPr>
          <w:rFonts w:cs="Times New Roman" w:ascii="Times New Roman" w:hAnsi="Times New Roman"/>
          <w:sz w:val="24"/>
          <w:szCs w:val="24"/>
        </w:rPr>
        <w:t>Tel:</w:t>
      </w:r>
      <w:r>
        <w:rPr>
          <w:rFonts w:cs="Times New Roman" w:ascii="Times New Roman" w:hAnsi="Times New Roman"/>
          <w:color w:val="000000"/>
          <w:sz w:val="24"/>
          <w:szCs w:val="24"/>
          <w:shd w:fill="auto" w:val="clear"/>
        </w:rPr>
        <w:t xml:space="preserve"> 0522-452461</w:t>
      </w:r>
    </w:p>
    <w:p>
      <w:pPr>
        <w:pStyle w:val="ListParagraph"/>
        <w:ind w:left="993" w:hanging="0"/>
        <w:jc w:val="both"/>
        <w:rPr>
          <w:highlight w:val="cyan"/>
        </w:rPr>
      </w:pPr>
      <w:r>
        <w:rPr>
          <w:rFonts w:cs="Times New Roman" w:ascii="Times New Roman" w:hAnsi="Times New Roman"/>
          <w:sz w:val="24"/>
          <w:szCs w:val="24"/>
        </w:rPr>
        <w:t>Fax:</w:t>
      </w:r>
      <w:r>
        <w:rPr>
          <w:rFonts w:cs="Times New Roman" w:ascii="Times New Roman" w:hAnsi="Times New Roman"/>
          <w:color w:val="000000"/>
          <w:sz w:val="24"/>
          <w:szCs w:val="24"/>
          <w:shd w:fill="auto" w:val="clear"/>
        </w:rPr>
        <w:t xml:space="preserve"> /</w:t>
      </w:r>
    </w:p>
    <w:p>
      <w:pPr>
        <w:pStyle w:val="ListParagraph"/>
        <w:ind w:left="993" w:hanging="0"/>
        <w:jc w:val="both"/>
        <w:rPr>
          <w:highlight w:val="cyan"/>
        </w:rPr>
      </w:pPr>
      <w:r>
        <w:rPr>
          <w:rFonts w:cs="Times New Roman" w:ascii="Times New Roman" w:hAnsi="Times New Roman"/>
          <w:sz w:val="24"/>
          <w:szCs w:val="24"/>
          <w:lang w:val="fr-FR"/>
        </w:rPr>
        <w:t>Pec: pauseatelierdeisaporisrl@pec.it</w:t>
      </w:r>
    </w:p>
    <w:p>
      <w:pPr>
        <w:pStyle w:val="ListParagraph"/>
        <w:ind w:left="993" w:hanging="0"/>
        <w:jc w:val="both"/>
        <w:rPr>
          <w:highlight w:val="cyan"/>
        </w:rPr>
      </w:pPr>
      <w:r>
        <w:rPr>
          <w:rFonts w:cs="Times New Roman" w:ascii="Times New Roman" w:hAnsi="Times New Roman"/>
          <w:sz w:val="24"/>
          <w:szCs w:val="24"/>
        </w:rPr>
        <w:t>Indirizzo: Via Bligny, 1/A Reggio Emilia</w:t>
      </w:r>
    </w:p>
    <w:p>
      <w:pPr>
        <w:pStyle w:val="ListParagraph"/>
        <w:jc w:val="both"/>
        <w:rPr/>
      </w:pPr>
      <w:r>
        <w:rPr>
          <w:rFonts w:cs="Times New Roman" w:ascii="Times New Roman" w:hAnsi="Times New Roman"/>
          <w:sz w:val="24"/>
          <w:szCs w:val="24"/>
        </w:rPr>
        <w:t>Le comunicazioni si intenderanno validamente effettuate alla data di ricevimento della raccomandata A/R, della pec o del fax da parte del suo destinatario.</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jc w:val="both"/>
        <w:rPr/>
      </w:pPr>
      <w:r>
        <w:rPr>
          <w:rFonts w:cs="Times New Roman" w:ascii="Times New Roman" w:hAnsi="Times New Roman"/>
          <w:b/>
          <w:sz w:val="24"/>
          <w:szCs w:val="24"/>
        </w:rPr>
        <w:t>Art. 10 Spese</w:t>
      </w:r>
    </w:p>
    <w:p>
      <w:pPr>
        <w:pStyle w:val="ListParagraph"/>
        <w:jc w:val="both"/>
        <w:rPr/>
      </w:pPr>
      <w:r>
        <w:rPr>
          <w:rFonts w:cs="Times New Roman" w:ascii="Times New Roman" w:hAnsi="Times New Roman"/>
          <w:sz w:val="24"/>
          <w:szCs w:val="24"/>
        </w:rPr>
        <w:t>Tutte le spese per la redazione della presente Convenzione, le eventuali spese di registrazione, ove quest’ultima si renda necessaria, faranno carico a PAUSE</w:t>
      </w:r>
      <w:r>
        <w:rPr>
          <w:rFonts w:cs="Times New Roman" w:ascii="Times New Roman" w:hAnsi="Times New Roman"/>
          <w:sz w:val="24"/>
        </w:rPr>
        <w:t xml:space="preserve"> Atelier dei Sapori S.r.l.</w:t>
      </w:r>
      <w:r>
        <w:rPr>
          <w:rFonts w:cs="Times New Roman" w:ascii="Times New Roman" w:hAnsi="Times New Roman"/>
          <w:sz w:val="24"/>
          <w:szCs w:val="24"/>
        </w:rPr>
        <w:t>.</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jc w:val="both"/>
        <w:rPr/>
      </w:pPr>
      <w:r>
        <w:rPr>
          <w:rFonts w:cs="Times New Roman" w:ascii="Times New Roman" w:hAnsi="Times New Roman"/>
          <w:b/>
          <w:sz w:val="24"/>
          <w:szCs w:val="24"/>
        </w:rPr>
        <w:t>Art. 11 Legge applicabile e controversie</w:t>
      </w:r>
    </w:p>
    <w:p>
      <w:pPr>
        <w:pStyle w:val="ListParagraph"/>
        <w:jc w:val="both"/>
        <w:rPr/>
      </w:pPr>
      <w:r>
        <w:rPr>
          <w:rFonts w:cs="Times New Roman" w:ascii="Times New Roman" w:hAnsi="Times New Roman"/>
          <w:sz w:val="24"/>
        </w:rPr>
        <w:t>La presente Convenzione è regolata dalla legge italiana.</w:t>
      </w:r>
    </w:p>
    <w:p>
      <w:pPr>
        <w:pStyle w:val="ListParagraph"/>
        <w:jc w:val="both"/>
        <w:rPr/>
      </w:pPr>
      <w:r>
        <w:rPr>
          <w:rFonts w:cs="Times New Roman" w:ascii="Times New Roman" w:hAnsi="Times New Roman"/>
          <w:sz w:val="24"/>
        </w:rPr>
        <w:t>Le Parti concordano di definire amichevolmente qualsiasi controversia che possa nascere nell’applicazione della presente Convenzione.</w:t>
      </w:r>
    </w:p>
    <w:p>
      <w:pPr>
        <w:pStyle w:val="ListParagraph"/>
        <w:jc w:val="both"/>
        <w:rPr/>
      </w:pPr>
      <w:r>
        <w:rPr>
          <w:rFonts w:cs="Times New Roman" w:ascii="Times New Roman" w:hAnsi="Times New Roman"/>
          <w:sz w:val="24"/>
        </w:rPr>
        <w:t>Nel caso in cui non fosse possibile raggiungere l’accordo in via bonaria le eventuali controversie saranno di competenza del Foro di Reggio Emilia.</w:t>
      </w:r>
    </w:p>
    <w:p>
      <w:pPr>
        <w:pStyle w:val="ListParagraph"/>
        <w:ind w:left="1080" w:hanging="0"/>
        <w:jc w:val="both"/>
        <w:rPr>
          <w:rFonts w:ascii="Times New Roman" w:hAnsi="Times New Roman" w:cs="Times New Roman"/>
          <w:sz w:val="28"/>
          <w:szCs w:val="24"/>
        </w:rPr>
      </w:pPr>
      <w:r>
        <w:rPr>
          <w:rFonts w:cs="Times New Roman" w:ascii="Times New Roman" w:hAnsi="Times New Roman"/>
          <w:sz w:val="28"/>
          <w:szCs w:val="24"/>
        </w:rPr>
      </w:r>
    </w:p>
    <w:p>
      <w:pPr>
        <w:pStyle w:val="ListParagraph"/>
        <w:jc w:val="both"/>
        <w:rPr/>
      </w:pPr>
      <w:r>
        <w:rPr>
          <w:rFonts w:cs="Times New Roman" w:ascii="Times New Roman" w:hAnsi="Times New Roman"/>
          <w:b/>
          <w:sz w:val="24"/>
          <w:szCs w:val="24"/>
        </w:rPr>
        <w:t>Art. 12 Ulteriori previsioni</w:t>
      </w:r>
    </w:p>
    <w:p>
      <w:pPr>
        <w:pStyle w:val="ListParagraph"/>
        <w:jc w:val="both"/>
        <w:rPr/>
      </w:pPr>
      <w:r>
        <w:rPr>
          <w:rFonts w:cs="Times New Roman" w:ascii="Times New Roman" w:hAnsi="Times New Roman"/>
          <w:sz w:val="24"/>
          <w:szCs w:val="28"/>
        </w:rPr>
        <w:t>La presente Convenzione e le pattuizioni in essa contenute non potranno essere soggette a modifiche, variazioni, soppressioni, se non per atto scritto espressamente approvato e sottoscritto dalle Parti.</w:t>
      </w:r>
    </w:p>
    <w:p>
      <w:pPr>
        <w:pStyle w:val="ListParagraph"/>
        <w:jc w:val="both"/>
        <w:rPr/>
      </w:pPr>
      <w:r>
        <w:rPr>
          <w:rFonts w:cs="Times New Roman" w:ascii="Times New Roman" w:hAnsi="Times New Roman"/>
          <w:sz w:val="24"/>
          <w:szCs w:val="28"/>
        </w:rPr>
        <w:t>La nullità di una o più disposizioni contenute nella presente Convenzione non comporterà, la nullità della stessa nella sua interezza.</w:t>
      </w:r>
    </w:p>
    <w:p>
      <w:pPr>
        <w:pStyle w:val="ListParagraph"/>
        <w:ind w:left="1080" w:hanging="0"/>
        <w:jc w:val="both"/>
        <w:rPr>
          <w:rFonts w:cs="Arial"/>
        </w:rPr>
      </w:pPr>
      <w:r>
        <w:rPr>
          <w:rFonts w:cs="Arial"/>
        </w:rPr>
      </w:r>
    </w:p>
    <w:p>
      <w:pPr>
        <w:pStyle w:val="Standard"/>
        <w:ind w:firstLine="708"/>
        <w:jc w:val="both"/>
        <w:rPr/>
      </w:pPr>
      <w:r>
        <w:rPr>
          <w:rFonts w:cs="Times New Roman" w:ascii="Times New Roman" w:hAnsi="Times New Roman"/>
          <w:b/>
          <w:sz w:val="24"/>
          <w:szCs w:val="24"/>
        </w:rPr>
        <w:t>Art. 13 Trattamento dei dati personali</w:t>
      </w:r>
    </w:p>
    <w:p>
      <w:pPr>
        <w:pStyle w:val="Normal"/>
        <w:ind w:left="708" w:hanging="0"/>
        <w:jc w:val="both"/>
        <w:rPr/>
      </w:pPr>
      <w:r>
        <w:rPr>
          <w:rFonts w:cs="Times New Roman" w:ascii="Times New Roman" w:hAnsi="Times New Roman"/>
          <w:sz w:val="24"/>
          <w:szCs w:val="24"/>
        </w:rPr>
        <w:t>Le Parti si impegnano a trattare i dati personali raccolti nell’esecuzione della presente Convenzione nel rispetto del D.lgs. 196/2003 nonché del Regolamento Europeo n. 679/2016.</w:t>
      </w:r>
    </w:p>
    <w:p>
      <w:pPr>
        <w:pStyle w:val="Standard"/>
        <w:ind w:left="708" w:hanging="0"/>
        <w:jc w:val="both"/>
        <w:rPr>
          <w:rFonts w:cs="Arial"/>
        </w:rPr>
      </w:pPr>
      <w:r>
        <w:rPr>
          <w:rFonts w:cs="Arial"/>
        </w:rPr>
      </w:r>
    </w:p>
    <w:p>
      <w:pPr>
        <w:pStyle w:val="ListParagraph"/>
        <w:ind w:left="1080" w:hanging="0"/>
        <w:jc w:val="both"/>
        <w:rPr/>
      </w:pPr>
      <w:r>
        <w:rPr>
          <w:rFonts w:cs="Times New Roman" w:ascii="Times New Roman" w:hAnsi="Times New Roman"/>
          <w:sz w:val="24"/>
          <w:szCs w:val="24"/>
        </w:rPr>
        <w:t xml:space="preserve">Luogo, giorno </w:t>
      </w:r>
      <w:r>
        <w:rPr>
          <w:rFonts w:cs="Times New Roman" w:ascii="Times New Roman" w:hAnsi="Times New Roman"/>
          <w:color w:val="FF3300"/>
          <w:sz w:val="24"/>
          <w:szCs w:val="24"/>
        </w:rPr>
        <w:t>FIRMA DIGITALE</w:t>
      </w:r>
    </w:p>
    <w:p>
      <w:pPr>
        <w:pStyle w:val="ListParagraph"/>
        <w:ind w:left="1080"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ind w:left="1080" w:hanging="0"/>
        <w:jc w:val="both"/>
        <w:rPr/>
      </w:pPr>
      <w:r>
        <w:rPr>
          <w:rFonts w:cs="Times New Roman" w:ascii="Times New Roman" w:hAnsi="Times New Roman"/>
          <w:sz w:val="24"/>
        </w:rPr>
        <w:t>Comune di Reggio Emilia</w:t>
        <w:tab/>
        <w:tab/>
        <w:tab/>
        <w:t>PAUSE Atelier dei Sapori S.r.l.</w:t>
        <w:tab/>
      </w:r>
    </w:p>
    <w:p>
      <w:pPr>
        <w:pStyle w:val="ListParagraph"/>
        <w:ind w:left="1080" w:hanging="0"/>
        <w:jc w:val="both"/>
        <w:rPr/>
      </w:pPr>
      <w:r>
        <w:rPr>
          <w:rFonts w:cs="Times New Roman" w:ascii="Times New Roman" w:hAnsi="Times New Roman"/>
          <w:sz w:val="24"/>
        </w:rPr>
        <w:t xml:space="preserve">Direttore Area Competitività, </w:t>
        <w:tab/>
        <w:tab/>
        <w:tab/>
        <w:t>Legale rappresentante</w:t>
      </w:r>
    </w:p>
    <w:p>
      <w:pPr>
        <w:pStyle w:val="ListParagraph"/>
        <w:ind w:left="1080" w:hanging="0"/>
        <w:jc w:val="both"/>
        <w:rPr/>
      </w:pPr>
      <w:r>
        <w:rPr>
          <w:rFonts w:cs="Times New Roman" w:ascii="Times New Roman" w:hAnsi="Times New Roman"/>
          <w:sz w:val="24"/>
        </w:rPr>
        <w:t>Innovazione Sociale, Territorio,</w:t>
        <w:tab/>
        <w:tab/>
        <w:tab/>
        <w:t>………..</w:t>
      </w:r>
    </w:p>
    <w:p>
      <w:pPr>
        <w:pStyle w:val="ListParagraph"/>
        <w:ind w:left="1080" w:hanging="0"/>
        <w:jc w:val="both"/>
        <w:rPr/>
      </w:pPr>
      <w:r>
        <w:rPr>
          <w:rFonts w:cs="Times New Roman" w:ascii="Times New Roman" w:hAnsi="Times New Roman"/>
          <w:sz w:val="24"/>
        </w:rPr>
        <w:t xml:space="preserve">Beni Comuni  </w:t>
        <w:tab/>
      </w:r>
    </w:p>
    <w:p>
      <w:pPr>
        <w:pStyle w:val="ListParagraph"/>
        <w:ind w:left="1080" w:hanging="0"/>
        <w:jc w:val="both"/>
        <w:rPr/>
      </w:pPr>
      <w:r>
        <w:rPr>
          <w:rFonts w:cs="Times New Roman" w:ascii="Times New Roman" w:hAnsi="Times New Roman"/>
          <w:sz w:val="24"/>
        </w:rPr>
        <w:t>Arch. Massimo Magnani</w:t>
        <w:tab/>
        <w:tab/>
        <w:tab/>
        <w:tab/>
      </w:r>
    </w:p>
    <w:p>
      <w:pPr>
        <w:pStyle w:val="ListParagraph"/>
        <w:spacing w:before="0" w:after="160"/>
        <w:ind w:left="1080" w:hanging="0"/>
        <w:jc w:val="both"/>
        <w:rPr/>
      </w:pPr>
      <w:r>
        <w:rPr>
          <w:rFonts w:cs="Times New Roman" w:ascii="Times New Roman" w:hAnsi="Times New Roman"/>
          <w:sz w:val="24"/>
        </w:rPr>
        <w:t>______________________</w:t>
        <w:tab/>
        <w:tab/>
        <w:tab/>
        <w:t>______________________</w:t>
      </w:r>
    </w:p>
    <w:sectPr>
      <w:footerReference w:type="default" r:id="rId3"/>
      <w:type w:val="nextPage"/>
      <w:pgSz w:w="11906" w:h="16838"/>
      <w:pgMar w:left="1134" w:right="1134" w:header="0" w:top="1417" w:footer="708" w:bottom="1134"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Segoe UI">
    <w:charset w:val="01"/>
    <w:family w:val="swiss"/>
    <w:pitch w:val="default"/>
  </w:font>
  <w:font w:name="Times New Roman">
    <w:charset w:val="01"/>
    <w:family w:val="swiss"/>
    <w:pitch w:val="default"/>
  </w:font>
  <w:font w:name="OpenSymbol">
    <w:altName w:val="Arial Unicode MS"/>
    <w:charset w:val="01"/>
    <w:family w:val="swiss"/>
    <w:pitch w:val="default"/>
  </w:font>
  <w:font w:name="Trebuchet MS">
    <w:charset w:val="01"/>
    <w:family w:val="swiss"/>
    <w:pitch w:val="default"/>
  </w:font>
  <w:font w:name="Arial">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right"/>
      <w:rPr/>
    </w:pPr>
    <w:r>
      <w:rPr/>
      <w:fldChar w:fldCharType="begin"/>
    </w:r>
    <w:r>
      <w:instrText> PAGE </w:instrText>
    </w:r>
    <w:r>
      <w:fldChar w:fldCharType="separate"/>
    </w:r>
    <w:r>
      <w:t>6</w:t>
    </w:r>
    <w:r>
      <w:fldChar w:fldCharType="end"/>
    </w:r>
  </w:p>
  <w:p>
    <w:pPr>
      <w:pStyle w:val="Pidipagin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false"/>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F"/>
        <w:szCs w:val="22"/>
        <w:lang w:val="it-IT"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708ce"/>
    <w:pPr>
      <w:widowControl/>
      <w:suppressAutoHyphens w:val="true"/>
      <w:bidi w:val="0"/>
      <w:jc w:val="left"/>
      <w:textAlignment w:val="baseline"/>
    </w:pPr>
    <w:rPr>
      <w:rFonts w:ascii="Calibri" w:hAnsi="Calibri" w:eastAsia="Calibri" w:cs="F"/>
      <w:color w:val="00000A"/>
      <w:sz w:val="22"/>
      <w:szCs w:val="22"/>
      <w:lang w:val="it-IT" w:eastAsia="en-US"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qFormat/>
    <w:rsid w:val="008708ce"/>
    <w:rPr/>
  </w:style>
  <w:style w:type="character" w:styleId="PidipaginaCarattere" w:customStyle="1">
    <w:name w:val="Piè di pagina Carattere"/>
    <w:basedOn w:val="DefaultParagraphFont"/>
    <w:qFormat/>
    <w:rsid w:val="008708ce"/>
    <w:rPr/>
  </w:style>
  <w:style w:type="character" w:styleId="Streetaddress" w:customStyle="1">
    <w:name w:val="street-address"/>
    <w:basedOn w:val="DefaultParagraphFont"/>
    <w:qFormat/>
    <w:rsid w:val="008708ce"/>
    <w:rPr/>
  </w:style>
  <w:style w:type="character" w:styleId="Locality" w:customStyle="1">
    <w:name w:val="locality"/>
    <w:basedOn w:val="DefaultParagraphFont"/>
    <w:qFormat/>
    <w:rsid w:val="008708ce"/>
    <w:rPr/>
  </w:style>
  <w:style w:type="character" w:styleId="TestofumettoCarattere" w:customStyle="1">
    <w:name w:val="Testo fumetto Carattere"/>
    <w:basedOn w:val="DefaultParagraphFont"/>
    <w:qFormat/>
    <w:rsid w:val="008708ce"/>
    <w:rPr>
      <w:rFonts w:ascii="Segoe UI" w:hAnsi="Segoe UI" w:eastAsia="Segoe UI" w:cs="Segoe UI"/>
      <w:sz w:val="18"/>
      <w:szCs w:val="18"/>
    </w:rPr>
  </w:style>
  <w:style w:type="character" w:styleId="ListLabel1" w:customStyle="1">
    <w:name w:val="ListLabel 1"/>
    <w:qFormat/>
    <w:rsid w:val="008708ce"/>
    <w:rPr>
      <w:rFonts w:ascii="Times New Roman" w:hAnsi="Times New Roman" w:eastAsia="Calibri" w:cs="Times New Roman"/>
      <w:sz w:val="24"/>
    </w:rPr>
  </w:style>
  <w:style w:type="character" w:styleId="ListLabel2" w:customStyle="1">
    <w:name w:val="ListLabel 2"/>
    <w:qFormat/>
    <w:rsid w:val="008708ce"/>
    <w:rPr>
      <w:rFonts w:cs="Courier New"/>
    </w:rPr>
  </w:style>
  <w:style w:type="character" w:styleId="ListLabel3" w:customStyle="1">
    <w:name w:val="ListLabel 3"/>
    <w:qFormat/>
    <w:rsid w:val="008708ce"/>
    <w:rPr>
      <w:rFonts w:cs="Courier New"/>
    </w:rPr>
  </w:style>
  <w:style w:type="character" w:styleId="ListLabel4" w:customStyle="1">
    <w:name w:val="ListLabel 4"/>
    <w:qFormat/>
    <w:rsid w:val="008708ce"/>
    <w:rPr>
      <w:rFonts w:cs="Courier New"/>
    </w:rPr>
  </w:style>
  <w:style w:type="character" w:styleId="ListLabel5" w:customStyle="1">
    <w:name w:val="ListLabel 5"/>
    <w:qFormat/>
    <w:rsid w:val="008708ce"/>
    <w:rPr>
      <w:rFonts w:ascii="Times New Roman" w:hAnsi="Times New Roman" w:eastAsia="Calibri" w:cs="Times New Roman"/>
      <w:sz w:val="24"/>
    </w:rPr>
  </w:style>
  <w:style w:type="character" w:styleId="ListLabel6" w:customStyle="1">
    <w:name w:val="ListLabel 6"/>
    <w:qFormat/>
    <w:rsid w:val="008708ce"/>
    <w:rPr>
      <w:rFonts w:cs="Courier New"/>
    </w:rPr>
  </w:style>
  <w:style w:type="character" w:styleId="ListLabel7" w:customStyle="1">
    <w:name w:val="ListLabel 7"/>
    <w:qFormat/>
    <w:rsid w:val="008708ce"/>
    <w:rPr>
      <w:rFonts w:cs="Courier New"/>
    </w:rPr>
  </w:style>
  <w:style w:type="character" w:styleId="ListLabel8" w:customStyle="1">
    <w:name w:val="ListLabel 8"/>
    <w:qFormat/>
    <w:rsid w:val="008708ce"/>
    <w:rPr>
      <w:rFonts w:cs="Courier New"/>
    </w:rPr>
  </w:style>
  <w:style w:type="character" w:styleId="ListLabel9" w:customStyle="1">
    <w:name w:val="ListLabel 9"/>
    <w:qFormat/>
    <w:rsid w:val="008708ce"/>
    <w:rPr>
      <w:rFonts w:ascii="Times New Roman" w:hAnsi="Times New Roman" w:eastAsia="Times New Roman" w:cs="Times New Roman"/>
      <w:b/>
      <w:sz w:val="24"/>
    </w:rPr>
  </w:style>
  <w:style w:type="character" w:styleId="ListLabel10" w:customStyle="1">
    <w:name w:val="ListLabel 10"/>
    <w:qFormat/>
    <w:rsid w:val="008708ce"/>
    <w:rPr>
      <w:rFonts w:ascii="Times New Roman" w:hAnsi="Times New Roman" w:eastAsia="Times New Roman" w:cs="Times New Roman"/>
      <w:sz w:val="24"/>
    </w:rPr>
  </w:style>
  <w:style w:type="character" w:styleId="ListLabel11" w:customStyle="1">
    <w:name w:val="ListLabel 11"/>
    <w:qFormat/>
    <w:rsid w:val="008708ce"/>
    <w:rPr>
      <w:rFonts w:cs="Arial"/>
      <w:b/>
      <w:sz w:val="22"/>
    </w:rPr>
  </w:style>
  <w:style w:type="character" w:styleId="ListLabel12" w:customStyle="1">
    <w:name w:val="ListLabel 12"/>
    <w:qFormat/>
    <w:rsid w:val="008708ce"/>
    <w:rPr>
      <w:rFonts w:ascii="Times New Roman" w:hAnsi="Times New Roman" w:eastAsia="Times New Roman" w:cs="Arial"/>
      <w:sz w:val="24"/>
    </w:rPr>
  </w:style>
  <w:style w:type="character" w:styleId="ListLabel13" w:customStyle="1">
    <w:name w:val="ListLabel 13"/>
    <w:qFormat/>
    <w:rsid w:val="008708ce"/>
    <w:rPr>
      <w:rFonts w:cs="Times New Roman"/>
      <w:b/>
      <w:sz w:val="24"/>
    </w:rPr>
  </w:style>
  <w:style w:type="character" w:styleId="ListLabel14" w:customStyle="1">
    <w:name w:val="ListLabel 14"/>
    <w:qFormat/>
    <w:rsid w:val="008708ce"/>
    <w:rPr>
      <w:rFonts w:ascii="Times New Roman" w:hAnsi="Times New Roman" w:eastAsia="Times New Roman" w:cs="Times New Roman"/>
      <w:sz w:val="24"/>
    </w:rPr>
  </w:style>
  <w:style w:type="character" w:styleId="ListLabel15" w:customStyle="1">
    <w:name w:val="ListLabel 15"/>
    <w:qFormat/>
    <w:rsid w:val="008708ce"/>
    <w:rPr>
      <w:rFonts w:cs="Courier New"/>
    </w:rPr>
  </w:style>
  <w:style w:type="character" w:styleId="ListLabel16" w:customStyle="1">
    <w:name w:val="ListLabel 16"/>
    <w:qFormat/>
    <w:rsid w:val="008708ce"/>
    <w:rPr>
      <w:rFonts w:cs="Wingdings"/>
    </w:rPr>
  </w:style>
  <w:style w:type="character" w:styleId="ListLabel17" w:customStyle="1">
    <w:name w:val="ListLabel 17"/>
    <w:qFormat/>
    <w:rsid w:val="008708ce"/>
    <w:rPr>
      <w:rFonts w:cs="Symbol"/>
    </w:rPr>
  </w:style>
  <w:style w:type="character" w:styleId="ListLabel18" w:customStyle="1">
    <w:name w:val="ListLabel 18"/>
    <w:qFormat/>
    <w:rsid w:val="008708ce"/>
    <w:rPr>
      <w:rFonts w:cs="Courier New"/>
    </w:rPr>
  </w:style>
  <w:style w:type="character" w:styleId="ListLabel19" w:customStyle="1">
    <w:name w:val="ListLabel 19"/>
    <w:qFormat/>
    <w:rsid w:val="008708ce"/>
    <w:rPr>
      <w:rFonts w:cs="Wingdings"/>
    </w:rPr>
  </w:style>
  <w:style w:type="character" w:styleId="ListLabel20" w:customStyle="1">
    <w:name w:val="ListLabel 20"/>
    <w:qFormat/>
    <w:rsid w:val="008708ce"/>
    <w:rPr>
      <w:rFonts w:cs="Symbol"/>
    </w:rPr>
  </w:style>
  <w:style w:type="character" w:styleId="ListLabel21" w:customStyle="1">
    <w:name w:val="ListLabel 21"/>
    <w:qFormat/>
    <w:rsid w:val="008708ce"/>
    <w:rPr>
      <w:rFonts w:cs="Courier New"/>
    </w:rPr>
  </w:style>
  <w:style w:type="character" w:styleId="ListLabel22" w:customStyle="1">
    <w:name w:val="ListLabel 22"/>
    <w:qFormat/>
    <w:rsid w:val="008708ce"/>
    <w:rPr>
      <w:rFonts w:cs="Wingdings"/>
    </w:rPr>
  </w:style>
  <w:style w:type="character" w:styleId="ListLabel23" w:customStyle="1">
    <w:name w:val="ListLabel 23"/>
    <w:qFormat/>
    <w:rsid w:val="008708ce"/>
    <w:rPr>
      <w:rFonts w:ascii="Times New Roman" w:hAnsi="Times New Roman" w:eastAsia="Times New Roman" w:cs="Times New Roman"/>
      <w:sz w:val="24"/>
    </w:rPr>
  </w:style>
  <w:style w:type="character" w:styleId="ListLabel24" w:customStyle="1">
    <w:name w:val="ListLabel 24"/>
    <w:qFormat/>
    <w:rsid w:val="008708ce"/>
    <w:rPr>
      <w:rFonts w:cs="Courier New"/>
    </w:rPr>
  </w:style>
  <w:style w:type="character" w:styleId="ListLabel25" w:customStyle="1">
    <w:name w:val="ListLabel 25"/>
    <w:qFormat/>
    <w:rsid w:val="008708ce"/>
    <w:rPr>
      <w:rFonts w:cs="Wingdings"/>
    </w:rPr>
  </w:style>
  <w:style w:type="character" w:styleId="ListLabel26" w:customStyle="1">
    <w:name w:val="ListLabel 26"/>
    <w:qFormat/>
    <w:rsid w:val="008708ce"/>
    <w:rPr>
      <w:rFonts w:cs="Symbol"/>
    </w:rPr>
  </w:style>
  <w:style w:type="character" w:styleId="ListLabel27" w:customStyle="1">
    <w:name w:val="ListLabel 27"/>
    <w:qFormat/>
    <w:rsid w:val="008708ce"/>
    <w:rPr>
      <w:rFonts w:cs="Courier New"/>
    </w:rPr>
  </w:style>
  <w:style w:type="character" w:styleId="ListLabel28" w:customStyle="1">
    <w:name w:val="ListLabel 28"/>
    <w:qFormat/>
    <w:rsid w:val="008708ce"/>
    <w:rPr>
      <w:rFonts w:cs="Wingdings"/>
    </w:rPr>
  </w:style>
  <w:style w:type="character" w:styleId="ListLabel29" w:customStyle="1">
    <w:name w:val="ListLabel 29"/>
    <w:qFormat/>
    <w:rsid w:val="008708ce"/>
    <w:rPr>
      <w:rFonts w:cs="Symbol"/>
    </w:rPr>
  </w:style>
  <w:style w:type="character" w:styleId="ListLabel30" w:customStyle="1">
    <w:name w:val="ListLabel 30"/>
    <w:qFormat/>
    <w:rsid w:val="008708ce"/>
    <w:rPr>
      <w:rFonts w:cs="Courier New"/>
    </w:rPr>
  </w:style>
  <w:style w:type="character" w:styleId="ListLabel31" w:customStyle="1">
    <w:name w:val="ListLabel 31"/>
    <w:qFormat/>
    <w:rsid w:val="008708ce"/>
    <w:rPr>
      <w:rFonts w:cs="Wingdings"/>
    </w:rPr>
  </w:style>
  <w:style w:type="character" w:styleId="ListLabel32" w:customStyle="1">
    <w:name w:val="ListLabel 32"/>
    <w:qFormat/>
    <w:rsid w:val="008708ce"/>
    <w:rPr>
      <w:rFonts w:ascii="Times New Roman" w:hAnsi="Times New Roman" w:eastAsia="Times New Roman" w:cs="Times New Roman"/>
      <w:b/>
      <w:sz w:val="24"/>
    </w:rPr>
  </w:style>
  <w:style w:type="character" w:styleId="ListLabel33" w:customStyle="1">
    <w:name w:val="ListLabel 33"/>
    <w:qFormat/>
    <w:rsid w:val="008708ce"/>
    <w:rPr>
      <w:rFonts w:ascii="Times New Roman" w:hAnsi="Times New Roman" w:eastAsia="Times New Roman" w:cs="Times New Roman"/>
      <w:sz w:val="24"/>
    </w:rPr>
  </w:style>
  <w:style w:type="character" w:styleId="ListLabel34" w:customStyle="1">
    <w:name w:val="ListLabel 34"/>
    <w:qFormat/>
    <w:rsid w:val="008708ce"/>
    <w:rPr>
      <w:rFonts w:ascii="Times New Roman" w:hAnsi="Times New Roman" w:eastAsia="Times New Roman" w:cs="Arial"/>
      <w:sz w:val="24"/>
    </w:rPr>
  </w:style>
  <w:style w:type="character" w:styleId="ListLabel35" w:customStyle="1">
    <w:name w:val="ListLabel 35"/>
    <w:qFormat/>
    <w:rsid w:val="008708ce"/>
    <w:rPr>
      <w:rFonts w:cs="Times New Roman"/>
      <w:b/>
      <w:sz w:val="24"/>
    </w:rPr>
  </w:style>
  <w:style w:type="character" w:styleId="Internetlink" w:customStyle="1">
    <w:name w:val="Internet link"/>
    <w:basedOn w:val="DefaultParagraphFont"/>
    <w:qFormat/>
    <w:rsid w:val="008708ce"/>
    <w:rPr>
      <w:color w:val="0563C1"/>
      <w:u w:val="single"/>
    </w:rPr>
  </w:style>
  <w:style w:type="character" w:styleId="ListLabel36" w:customStyle="1">
    <w:name w:val="ListLabel 36"/>
    <w:qFormat/>
    <w:rsid w:val="008708ce"/>
    <w:rPr>
      <w:rFonts w:ascii="Times New Roman" w:hAnsi="Times New Roman" w:eastAsia="Times New Roman" w:cs="Times New Roman"/>
      <w:sz w:val="24"/>
    </w:rPr>
  </w:style>
  <w:style w:type="character" w:styleId="ListLabel37" w:customStyle="1">
    <w:name w:val="ListLabel 37"/>
    <w:qFormat/>
    <w:rsid w:val="008708ce"/>
    <w:rPr>
      <w:rFonts w:cs="Courier New"/>
    </w:rPr>
  </w:style>
  <w:style w:type="character" w:styleId="ListLabel38" w:customStyle="1">
    <w:name w:val="ListLabel 38"/>
    <w:qFormat/>
    <w:rsid w:val="008708ce"/>
    <w:rPr>
      <w:rFonts w:cs="Wingdings"/>
    </w:rPr>
  </w:style>
  <w:style w:type="character" w:styleId="ListLabel39" w:customStyle="1">
    <w:name w:val="ListLabel 39"/>
    <w:qFormat/>
    <w:rsid w:val="008708ce"/>
    <w:rPr>
      <w:rFonts w:cs="Symbol"/>
    </w:rPr>
  </w:style>
  <w:style w:type="character" w:styleId="ListLabel40" w:customStyle="1">
    <w:name w:val="ListLabel 40"/>
    <w:qFormat/>
    <w:rsid w:val="008708ce"/>
    <w:rPr>
      <w:rFonts w:cs="Courier New"/>
    </w:rPr>
  </w:style>
  <w:style w:type="character" w:styleId="ListLabel41" w:customStyle="1">
    <w:name w:val="ListLabel 41"/>
    <w:qFormat/>
    <w:rsid w:val="008708ce"/>
    <w:rPr>
      <w:rFonts w:cs="Wingdings"/>
    </w:rPr>
  </w:style>
  <w:style w:type="character" w:styleId="ListLabel42" w:customStyle="1">
    <w:name w:val="ListLabel 42"/>
    <w:qFormat/>
    <w:rsid w:val="008708ce"/>
    <w:rPr>
      <w:rFonts w:cs="Symbol"/>
    </w:rPr>
  </w:style>
  <w:style w:type="character" w:styleId="ListLabel43" w:customStyle="1">
    <w:name w:val="ListLabel 43"/>
    <w:qFormat/>
    <w:rsid w:val="008708ce"/>
    <w:rPr>
      <w:rFonts w:cs="Courier New"/>
    </w:rPr>
  </w:style>
  <w:style w:type="character" w:styleId="ListLabel44" w:customStyle="1">
    <w:name w:val="ListLabel 44"/>
    <w:qFormat/>
    <w:rsid w:val="008708ce"/>
    <w:rPr>
      <w:rFonts w:cs="Wingdings"/>
    </w:rPr>
  </w:style>
  <w:style w:type="character" w:styleId="ListLabel45" w:customStyle="1">
    <w:name w:val="ListLabel 45"/>
    <w:qFormat/>
    <w:rsid w:val="008708ce"/>
    <w:rPr>
      <w:rFonts w:ascii="Times New Roman" w:hAnsi="Times New Roman" w:eastAsia="Times New Roman" w:cs="Times New Roman"/>
      <w:sz w:val="24"/>
    </w:rPr>
  </w:style>
  <w:style w:type="character" w:styleId="ListLabel46" w:customStyle="1">
    <w:name w:val="ListLabel 46"/>
    <w:qFormat/>
    <w:rsid w:val="008708ce"/>
    <w:rPr>
      <w:rFonts w:cs="Courier New"/>
    </w:rPr>
  </w:style>
  <w:style w:type="character" w:styleId="ListLabel47" w:customStyle="1">
    <w:name w:val="ListLabel 47"/>
    <w:qFormat/>
    <w:rsid w:val="008708ce"/>
    <w:rPr>
      <w:rFonts w:cs="Wingdings"/>
    </w:rPr>
  </w:style>
  <w:style w:type="character" w:styleId="ListLabel48" w:customStyle="1">
    <w:name w:val="ListLabel 48"/>
    <w:qFormat/>
    <w:rsid w:val="008708ce"/>
    <w:rPr>
      <w:rFonts w:cs="Symbol"/>
    </w:rPr>
  </w:style>
  <w:style w:type="character" w:styleId="ListLabel49" w:customStyle="1">
    <w:name w:val="ListLabel 49"/>
    <w:qFormat/>
    <w:rsid w:val="008708ce"/>
    <w:rPr>
      <w:rFonts w:cs="Courier New"/>
    </w:rPr>
  </w:style>
  <w:style w:type="character" w:styleId="ListLabel50" w:customStyle="1">
    <w:name w:val="ListLabel 50"/>
    <w:qFormat/>
    <w:rsid w:val="008708ce"/>
    <w:rPr>
      <w:rFonts w:cs="Wingdings"/>
    </w:rPr>
  </w:style>
  <w:style w:type="character" w:styleId="ListLabel51" w:customStyle="1">
    <w:name w:val="ListLabel 51"/>
    <w:qFormat/>
    <w:rsid w:val="008708ce"/>
    <w:rPr>
      <w:rFonts w:cs="Symbol"/>
    </w:rPr>
  </w:style>
  <w:style w:type="character" w:styleId="ListLabel52" w:customStyle="1">
    <w:name w:val="ListLabel 52"/>
    <w:qFormat/>
    <w:rsid w:val="008708ce"/>
    <w:rPr>
      <w:rFonts w:cs="Courier New"/>
    </w:rPr>
  </w:style>
  <w:style w:type="character" w:styleId="ListLabel53" w:customStyle="1">
    <w:name w:val="ListLabel 53"/>
    <w:qFormat/>
    <w:rsid w:val="008708ce"/>
    <w:rPr>
      <w:rFonts w:cs="Wingdings"/>
    </w:rPr>
  </w:style>
  <w:style w:type="character" w:styleId="ListLabel54" w:customStyle="1">
    <w:name w:val="ListLabel 54"/>
    <w:qFormat/>
    <w:rsid w:val="008708ce"/>
    <w:rPr>
      <w:rFonts w:ascii="Times New Roman" w:hAnsi="Times New Roman" w:eastAsia="Times New Roman" w:cs="Times New Roman"/>
      <w:b/>
      <w:sz w:val="24"/>
    </w:rPr>
  </w:style>
  <w:style w:type="character" w:styleId="ListLabel55" w:customStyle="1">
    <w:name w:val="ListLabel 55"/>
    <w:qFormat/>
    <w:rsid w:val="008708ce"/>
    <w:rPr>
      <w:rFonts w:ascii="Times New Roman" w:hAnsi="Times New Roman" w:eastAsia="Times New Roman" w:cs="Times New Roman"/>
      <w:sz w:val="24"/>
    </w:rPr>
  </w:style>
  <w:style w:type="character" w:styleId="ListLabel56" w:customStyle="1">
    <w:name w:val="ListLabel 56"/>
    <w:qFormat/>
    <w:rsid w:val="008708ce"/>
    <w:rPr>
      <w:rFonts w:ascii="Times New Roman" w:hAnsi="Times New Roman" w:eastAsia="Times New Roman" w:cs="Arial"/>
      <w:sz w:val="24"/>
    </w:rPr>
  </w:style>
  <w:style w:type="character" w:styleId="ListLabel57" w:customStyle="1">
    <w:name w:val="ListLabel 57"/>
    <w:qFormat/>
    <w:rsid w:val="008708ce"/>
    <w:rPr>
      <w:rFonts w:cs="Times New Roman"/>
      <w:b/>
      <w:sz w:val="24"/>
    </w:rPr>
  </w:style>
  <w:style w:type="character" w:styleId="ListLabel58" w:customStyle="1">
    <w:name w:val="ListLabel 58"/>
    <w:qFormat/>
    <w:rsid w:val="008708ce"/>
    <w:rPr>
      <w:rFonts w:cs="Courier New"/>
    </w:rPr>
  </w:style>
  <w:style w:type="character" w:styleId="ListLabel59" w:customStyle="1">
    <w:name w:val="ListLabel 59"/>
    <w:qFormat/>
    <w:rsid w:val="008708ce"/>
    <w:rPr>
      <w:rFonts w:cs="Courier New"/>
    </w:rPr>
  </w:style>
  <w:style w:type="character" w:styleId="ListLabel60" w:customStyle="1">
    <w:name w:val="ListLabel 60"/>
    <w:qFormat/>
    <w:rsid w:val="008708ce"/>
    <w:rPr>
      <w:rFonts w:cs="Courier New"/>
    </w:rPr>
  </w:style>
  <w:style w:type="character" w:styleId="ListLabel61" w:customStyle="1">
    <w:name w:val="ListLabel 61"/>
    <w:qFormat/>
    <w:rsid w:val="008708ce"/>
    <w:rPr>
      <w:rFonts w:ascii="Times New Roman" w:hAnsi="Times New Roman" w:eastAsia="Times New Roman" w:cs="Times New Roman"/>
      <w:sz w:val="24"/>
    </w:rPr>
  </w:style>
  <w:style w:type="character" w:styleId="ListLabel62" w:customStyle="1">
    <w:name w:val="ListLabel 62"/>
    <w:qFormat/>
    <w:rsid w:val="008708ce"/>
    <w:rPr>
      <w:rFonts w:cs="Courier New"/>
    </w:rPr>
  </w:style>
  <w:style w:type="character" w:styleId="ListLabel63" w:customStyle="1">
    <w:name w:val="ListLabel 63"/>
    <w:qFormat/>
    <w:rsid w:val="008708ce"/>
    <w:rPr>
      <w:rFonts w:cs="Wingdings"/>
    </w:rPr>
  </w:style>
  <w:style w:type="character" w:styleId="ListLabel64" w:customStyle="1">
    <w:name w:val="ListLabel 64"/>
    <w:qFormat/>
    <w:rsid w:val="008708ce"/>
    <w:rPr>
      <w:rFonts w:cs="Symbol"/>
    </w:rPr>
  </w:style>
  <w:style w:type="character" w:styleId="ListLabel65" w:customStyle="1">
    <w:name w:val="ListLabel 65"/>
    <w:qFormat/>
    <w:rsid w:val="008708ce"/>
    <w:rPr>
      <w:rFonts w:cs="Courier New"/>
    </w:rPr>
  </w:style>
  <w:style w:type="character" w:styleId="ListLabel66" w:customStyle="1">
    <w:name w:val="ListLabel 66"/>
    <w:qFormat/>
    <w:rsid w:val="008708ce"/>
    <w:rPr>
      <w:rFonts w:cs="Wingdings"/>
    </w:rPr>
  </w:style>
  <w:style w:type="character" w:styleId="ListLabel67" w:customStyle="1">
    <w:name w:val="ListLabel 67"/>
    <w:qFormat/>
    <w:rsid w:val="008708ce"/>
    <w:rPr>
      <w:rFonts w:cs="Symbol"/>
    </w:rPr>
  </w:style>
  <w:style w:type="character" w:styleId="ListLabel68" w:customStyle="1">
    <w:name w:val="ListLabel 68"/>
    <w:qFormat/>
    <w:rsid w:val="008708ce"/>
    <w:rPr>
      <w:rFonts w:cs="Courier New"/>
    </w:rPr>
  </w:style>
  <w:style w:type="character" w:styleId="ListLabel69" w:customStyle="1">
    <w:name w:val="ListLabel 69"/>
    <w:qFormat/>
    <w:rsid w:val="008708ce"/>
    <w:rPr>
      <w:rFonts w:cs="Wingdings"/>
    </w:rPr>
  </w:style>
  <w:style w:type="character" w:styleId="ListLabel70" w:customStyle="1">
    <w:name w:val="ListLabel 70"/>
    <w:qFormat/>
    <w:rsid w:val="008708ce"/>
    <w:rPr>
      <w:rFonts w:ascii="Times New Roman" w:hAnsi="Times New Roman" w:eastAsia="Times New Roman" w:cs="Times New Roman"/>
      <w:sz w:val="24"/>
    </w:rPr>
  </w:style>
  <w:style w:type="character" w:styleId="ListLabel71" w:customStyle="1">
    <w:name w:val="ListLabel 71"/>
    <w:qFormat/>
    <w:rsid w:val="008708ce"/>
    <w:rPr>
      <w:rFonts w:cs="Courier New"/>
    </w:rPr>
  </w:style>
  <w:style w:type="character" w:styleId="ListLabel72" w:customStyle="1">
    <w:name w:val="ListLabel 72"/>
    <w:qFormat/>
    <w:rsid w:val="008708ce"/>
    <w:rPr>
      <w:rFonts w:cs="Wingdings"/>
    </w:rPr>
  </w:style>
  <w:style w:type="character" w:styleId="ListLabel73" w:customStyle="1">
    <w:name w:val="ListLabel 73"/>
    <w:qFormat/>
    <w:rsid w:val="008708ce"/>
    <w:rPr>
      <w:rFonts w:cs="Symbol"/>
    </w:rPr>
  </w:style>
  <w:style w:type="character" w:styleId="ListLabel74" w:customStyle="1">
    <w:name w:val="ListLabel 74"/>
    <w:qFormat/>
    <w:rsid w:val="008708ce"/>
    <w:rPr>
      <w:rFonts w:cs="Courier New"/>
    </w:rPr>
  </w:style>
  <w:style w:type="character" w:styleId="ListLabel75" w:customStyle="1">
    <w:name w:val="ListLabel 75"/>
    <w:qFormat/>
    <w:rsid w:val="008708ce"/>
    <w:rPr>
      <w:rFonts w:cs="Wingdings"/>
    </w:rPr>
  </w:style>
  <w:style w:type="character" w:styleId="ListLabel76" w:customStyle="1">
    <w:name w:val="ListLabel 76"/>
    <w:qFormat/>
    <w:rsid w:val="008708ce"/>
    <w:rPr>
      <w:rFonts w:cs="Symbol"/>
    </w:rPr>
  </w:style>
  <w:style w:type="character" w:styleId="ListLabel77" w:customStyle="1">
    <w:name w:val="ListLabel 77"/>
    <w:qFormat/>
    <w:rsid w:val="008708ce"/>
    <w:rPr>
      <w:rFonts w:cs="Courier New"/>
    </w:rPr>
  </w:style>
  <w:style w:type="character" w:styleId="ListLabel78" w:customStyle="1">
    <w:name w:val="ListLabel 78"/>
    <w:qFormat/>
    <w:rsid w:val="008708ce"/>
    <w:rPr>
      <w:rFonts w:cs="Wingdings"/>
    </w:rPr>
  </w:style>
  <w:style w:type="character" w:styleId="ListLabel79" w:customStyle="1">
    <w:name w:val="ListLabel 79"/>
    <w:qFormat/>
    <w:rsid w:val="008708ce"/>
    <w:rPr>
      <w:rFonts w:ascii="Times New Roman" w:hAnsi="Times New Roman" w:eastAsia="Times New Roman" w:cs="Times New Roman"/>
      <w:b/>
      <w:sz w:val="24"/>
    </w:rPr>
  </w:style>
  <w:style w:type="character" w:styleId="ListLabel80" w:customStyle="1">
    <w:name w:val="ListLabel 80"/>
    <w:qFormat/>
    <w:rsid w:val="008708ce"/>
    <w:rPr>
      <w:rFonts w:ascii="Times New Roman" w:hAnsi="Times New Roman" w:eastAsia="Times New Roman" w:cs="Times New Roman"/>
      <w:sz w:val="24"/>
    </w:rPr>
  </w:style>
  <w:style w:type="character" w:styleId="ListLabel81" w:customStyle="1">
    <w:name w:val="ListLabel 81"/>
    <w:qFormat/>
    <w:rsid w:val="008708ce"/>
    <w:rPr>
      <w:rFonts w:ascii="Times New Roman" w:hAnsi="Times New Roman" w:eastAsia="Times New Roman" w:cs="Arial"/>
      <w:sz w:val="24"/>
    </w:rPr>
  </w:style>
  <w:style w:type="character" w:styleId="ListLabel82" w:customStyle="1">
    <w:name w:val="ListLabel 82"/>
    <w:qFormat/>
    <w:rsid w:val="008708ce"/>
    <w:rPr>
      <w:rFonts w:cs="Times New Roman"/>
      <w:b/>
      <w:sz w:val="24"/>
    </w:rPr>
  </w:style>
  <w:style w:type="character" w:styleId="ListLabel83" w:customStyle="1">
    <w:name w:val="ListLabel 83"/>
    <w:qFormat/>
    <w:rsid w:val="008708ce"/>
    <w:rPr>
      <w:rFonts w:cs="Times New Roman"/>
      <w:sz w:val="24"/>
    </w:rPr>
  </w:style>
  <w:style w:type="character" w:styleId="ListLabel84" w:customStyle="1">
    <w:name w:val="ListLabel 84"/>
    <w:qFormat/>
    <w:rsid w:val="008708ce"/>
    <w:rPr>
      <w:rFonts w:cs="Courier New"/>
    </w:rPr>
  </w:style>
  <w:style w:type="character" w:styleId="ListLabel85" w:customStyle="1">
    <w:name w:val="ListLabel 85"/>
    <w:qFormat/>
    <w:rsid w:val="008708ce"/>
    <w:rPr>
      <w:rFonts w:cs="Wingdings"/>
    </w:rPr>
  </w:style>
  <w:style w:type="character" w:styleId="ListLabel86" w:customStyle="1">
    <w:name w:val="ListLabel 86"/>
    <w:qFormat/>
    <w:rsid w:val="008708ce"/>
    <w:rPr>
      <w:rFonts w:cs="Symbol"/>
    </w:rPr>
  </w:style>
  <w:style w:type="character" w:styleId="ListLabel87" w:customStyle="1">
    <w:name w:val="ListLabel 87"/>
    <w:qFormat/>
    <w:rsid w:val="008708ce"/>
    <w:rPr>
      <w:rFonts w:cs="Courier New"/>
    </w:rPr>
  </w:style>
  <w:style w:type="character" w:styleId="ListLabel88" w:customStyle="1">
    <w:name w:val="ListLabel 88"/>
    <w:qFormat/>
    <w:rsid w:val="008708ce"/>
    <w:rPr>
      <w:rFonts w:cs="Wingdings"/>
    </w:rPr>
  </w:style>
  <w:style w:type="character" w:styleId="ListLabel89" w:customStyle="1">
    <w:name w:val="ListLabel 89"/>
    <w:qFormat/>
    <w:rsid w:val="008708ce"/>
    <w:rPr>
      <w:rFonts w:cs="Symbol"/>
    </w:rPr>
  </w:style>
  <w:style w:type="character" w:styleId="ListLabel90" w:customStyle="1">
    <w:name w:val="ListLabel 90"/>
    <w:qFormat/>
    <w:rsid w:val="008708ce"/>
    <w:rPr>
      <w:rFonts w:cs="Courier New"/>
    </w:rPr>
  </w:style>
  <w:style w:type="character" w:styleId="ListLabel91" w:customStyle="1">
    <w:name w:val="ListLabel 91"/>
    <w:qFormat/>
    <w:rsid w:val="008708ce"/>
    <w:rPr>
      <w:rFonts w:cs="Wingdings"/>
    </w:rPr>
  </w:style>
  <w:style w:type="character" w:styleId="ListLabel92" w:customStyle="1">
    <w:name w:val="ListLabel 92"/>
    <w:qFormat/>
    <w:rsid w:val="008708ce"/>
    <w:rPr>
      <w:rFonts w:cs="Times New Roman"/>
      <w:sz w:val="24"/>
    </w:rPr>
  </w:style>
  <w:style w:type="character" w:styleId="ListLabel93" w:customStyle="1">
    <w:name w:val="ListLabel 93"/>
    <w:qFormat/>
    <w:rsid w:val="008708ce"/>
    <w:rPr>
      <w:rFonts w:cs="Courier New"/>
    </w:rPr>
  </w:style>
  <w:style w:type="character" w:styleId="ListLabel94" w:customStyle="1">
    <w:name w:val="ListLabel 94"/>
    <w:qFormat/>
    <w:rsid w:val="008708ce"/>
    <w:rPr>
      <w:rFonts w:cs="Wingdings"/>
    </w:rPr>
  </w:style>
  <w:style w:type="character" w:styleId="ListLabel95" w:customStyle="1">
    <w:name w:val="ListLabel 95"/>
    <w:qFormat/>
    <w:rsid w:val="008708ce"/>
    <w:rPr>
      <w:rFonts w:cs="Symbol"/>
    </w:rPr>
  </w:style>
  <w:style w:type="character" w:styleId="ListLabel96" w:customStyle="1">
    <w:name w:val="ListLabel 96"/>
    <w:qFormat/>
    <w:rsid w:val="008708ce"/>
    <w:rPr>
      <w:rFonts w:cs="Courier New"/>
    </w:rPr>
  </w:style>
  <w:style w:type="character" w:styleId="ListLabel97" w:customStyle="1">
    <w:name w:val="ListLabel 97"/>
    <w:qFormat/>
    <w:rsid w:val="008708ce"/>
    <w:rPr>
      <w:rFonts w:cs="Wingdings"/>
    </w:rPr>
  </w:style>
  <w:style w:type="character" w:styleId="ListLabel98" w:customStyle="1">
    <w:name w:val="ListLabel 98"/>
    <w:qFormat/>
    <w:rsid w:val="008708ce"/>
    <w:rPr>
      <w:rFonts w:cs="Symbol"/>
    </w:rPr>
  </w:style>
  <w:style w:type="character" w:styleId="ListLabel99" w:customStyle="1">
    <w:name w:val="ListLabel 99"/>
    <w:qFormat/>
    <w:rsid w:val="008708ce"/>
    <w:rPr>
      <w:rFonts w:cs="Courier New"/>
    </w:rPr>
  </w:style>
  <w:style w:type="character" w:styleId="ListLabel100" w:customStyle="1">
    <w:name w:val="ListLabel 100"/>
    <w:qFormat/>
    <w:rsid w:val="008708ce"/>
    <w:rPr>
      <w:rFonts w:cs="Wingdings"/>
    </w:rPr>
  </w:style>
  <w:style w:type="character" w:styleId="ListLabel101" w:customStyle="1">
    <w:name w:val="ListLabel 101"/>
    <w:qFormat/>
    <w:rsid w:val="008708ce"/>
    <w:rPr>
      <w:rFonts w:cs="Arial"/>
      <w:sz w:val="24"/>
    </w:rPr>
  </w:style>
  <w:style w:type="character" w:styleId="ListLabel102" w:customStyle="1">
    <w:name w:val="ListLabel 102"/>
    <w:qFormat/>
    <w:rsid w:val="008708ce"/>
    <w:rPr>
      <w:rFonts w:cs="Times New Roman"/>
      <w:b/>
      <w:sz w:val="24"/>
    </w:rPr>
  </w:style>
  <w:style w:type="character" w:styleId="CollegamentoInternet" w:customStyle="1">
    <w:name w:val="Collegamento Internet"/>
    <w:rsid w:val="008708ce"/>
    <w:rPr>
      <w:color w:val="000080"/>
      <w:u w:val="single"/>
    </w:rPr>
  </w:style>
  <w:style w:type="character" w:styleId="ListLabel103" w:customStyle="1">
    <w:name w:val="ListLabel 103"/>
    <w:qFormat/>
    <w:rsid w:val="008708ce"/>
    <w:rPr>
      <w:rFonts w:cs="Times New Roman"/>
      <w:sz w:val="24"/>
    </w:rPr>
  </w:style>
  <w:style w:type="character" w:styleId="ListLabel104" w:customStyle="1">
    <w:name w:val="ListLabel 104"/>
    <w:qFormat/>
    <w:rsid w:val="008708ce"/>
    <w:rPr>
      <w:rFonts w:cs="Courier New"/>
    </w:rPr>
  </w:style>
  <w:style w:type="character" w:styleId="ListLabel105" w:customStyle="1">
    <w:name w:val="ListLabel 105"/>
    <w:qFormat/>
    <w:rsid w:val="008708ce"/>
    <w:rPr>
      <w:rFonts w:cs="Wingdings"/>
    </w:rPr>
  </w:style>
  <w:style w:type="character" w:styleId="ListLabel106" w:customStyle="1">
    <w:name w:val="ListLabel 106"/>
    <w:qFormat/>
    <w:rsid w:val="008708ce"/>
    <w:rPr>
      <w:rFonts w:cs="Symbol"/>
    </w:rPr>
  </w:style>
  <w:style w:type="character" w:styleId="ListLabel107" w:customStyle="1">
    <w:name w:val="ListLabel 107"/>
    <w:qFormat/>
    <w:rsid w:val="008708ce"/>
    <w:rPr>
      <w:rFonts w:cs="Courier New"/>
    </w:rPr>
  </w:style>
  <w:style w:type="character" w:styleId="ListLabel108" w:customStyle="1">
    <w:name w:val="ListLabel 108"/>
    <w:qFormat/>
    <w:rsid w:val="008708ce"/>
    <w:rPr>
      <w:rFonts w:cs="Wingdings"/>
    </w:rPr>
  </w:style>
  <w:style w:type="character" w:styleId="ListLabel109" w:customStyle="1">
    <w:name w:val="ListLabel 109"/>
    <w:qFormat/>
    <w:rsid w:val="008708ce"/>
    <w:rPr>
      <w:rFonts w:cs="Symbol"/>
    </w:rPr>
  </w:style>
  <w:style w:type="character" w:styleId="ListLabel110" w:customStyle="1">
    <w:name w:val="ListLabel 110"/>
    <w:qFormat/>
    <w:rsid w:val="008708ce"/>
    <w:rPr>
      <w:rFonts w:cs="Courier New"/>
    </w:rPr>
  </w:style>
  <w:style w:type="character" w:styleId="ListLabel111" w:customStyle="1">
    <w:name w:val="ListLabel 111"/>
    <w:qFormat/>
    <w:rsid w:val="008708ce"/>
    <w:rPr>
      <w:rFonts w:cs="Wingdings"/>
    </w:rPr>
  </w:style>
  <w:style w:type="character" w:styleId="ListLabel112" w:customStyle="1">
    <w:name w:val="ListLabel 112"/>
    <w:qFormat/>
    <w:rsid w:val="008708ce"/>
    <w:rPr>
      <w:rFonts w:cs="Times New Roman"/>
      <w:sz w:val="24"/>
    </w:rPr>
  </w:style>
  <w:style w:type="character" w:styleId="ListLabel113" w:customStyle="1">
    <w:name w:val="ListLabel 113"/>
    <w:qFormat/>
    <w:rsid w:val="008708ce"/>
    <w:rPr>
      <w:rFonts w:cs="Courier New"/>
    </w:rPr>
  </w:style>
  <w:style w:type="character" w:styleId="ListLabel114" w:customStyle="1">
    <w:name w:val="ListLabel 114"/>
    <w:qFormat/>
    <w:rsid w:val="008708ce"/>
    <w:rPr>
      <w:rFonts w:cs="Wingdings"/>
    </w:rPr>
  </w:style>
  <w:style w:type="character" w:styleId="ListLabel115" w:customStyle="1">
    <w:name w:val="ListLabel 115"/>
    <w:qFormat/>
    <w:rsid w:val="008708ce"/>
    <w:rPr>
      <w:rFonts w:cs="Symbol"/>
    </w:rPr>
  </w:style>
  <w:style w:type="character" w:styleId="ListLabel116" w:customStyle="1">
    <w:name w:val="ListLabel 116"/>
    <w:qFormat/>
    <w:rsid w:val="008708ce"/>
    <w:rPr>
      <w:rFonts w:cs="Courier New"/>
    </w:rPr>
  </w:style>
  <w:style w:type="character" w:styleId="ListLabel117" w:customStyle="1">
    <w:name w:val="ListLabel 117"/>
    <w:qFormat/>
    <w:rsid w:val="008708ce"/>
    <w:rPr>
      <w:rFonts w:cs="Wingdings"/>
    </w:rPr>
  </w:style>
  <w:style w:type="character" w:styleId="ListLabel118" w:customStyle="1">
    <w:name w:val="ListLabel 118"/>
    <w:qFormat/>
    <w:rsid w:val="008708ce"/>
    <w:rPr>
      <w:rFonts w:cs="Symbol"/>
    </w:rPr>
  </w:style>
  <w:style w:type="character" w:styleId="ListLabel119" w:customStyle="1">
    <w:name w:val="ListLabel 119"/>
    <w:qFormat/>
    <w:rsid w:val="008708ce"/>
    <w:rPr>
      <w:rFonts w:cs="Courier New"/>
    </w:rPr>
  </w:style>
  <w:style w:type="character" w:styleId="ListLabel120" w:customStyle="1">
    <w:name w:val="ListLabel 120"/>
    <w:qFormat/>
    <w:rsid w:val="008708ce"/>
    <w:rPr>
      <w:rFonts w:cs="Wingdings"/>
    </w:rPr>
  </w:style>
  <w:style w:type="character" w:styleId="ListLabel121" w:customStyle="1">
    <w:name w:val="ListLabel 121"/>
    <w:qFormat/>
    <w:rsid w:val="008708ce"/>
    <w:rPr>
      <w:rFonts w:cs="Arial"/>
      <w:sz w:val="24"/>
    </w:rPr>
  </w:style>
  <w:style w:type="character" w:styleId="ListLabel122" w:customStyle="1">
    <w:name w:val="ListLabel 122"/>
    <w:qFormat/>
    <w:rsid w:val="008708ce"/>
    <w:rPr>
      <w:rFonts w:cs="Times New Roman"/>
      <w:b/>
      <w:sz w:val="24"/>
    </w:rPr>
  </w:style>
  <w:style w:type="character" w:styleId="Caratteridinumerazione" w:customStyle="1">
    <w:name w:val="Caratteri di numerazione"/>
    <w:qFormat/>
    <w:rsid w:val="008708ce"/>
    <w:rPr/>
  </w:style>
  <w:style w:type="character" w:styleId="Punti" w:customStyle="1">
    <w:name w:val="Punti"/>
    <w:qFormat/>
    <w:rsid w:val="008708ce"/>
    <w:rPr>
      <w:rFonts w:ascii="OpenSymbol" w:hAnsi="OpenSymbol" w:eastAsia="OpenSymbol" w:cs="OpenSymbol"/>
    </w:rPr>
  </w:style>
  <w:style w:type="character" w:styleId="ListLabel123" w:customStyle="1">
    <w:name w:val="ListLabel 123"/>
    <w:qFormat/>
    <w:rsid w:val="008708ce"/>
    <w:rPr>
      <w:rFonts w:cs="Times New Roman"/>
      <w:sz w:val="24"/>
    </w:rPr>
  </w:style>
  <w:style w:type="character" w:styleId="ListLabel124" w:customStyle="1">
    <w:name w:val="ListLabel 124"/>
    <w:qFormat/>
    <w:rsid w:val="008708ce"/>
    <w:rPr>
      <w:rFonts w:cs="Courier New"/>
    </w:rPr>
  </w:style>
  <w:style w:type="character" w:styleId="ListLabel125" w:customStyle="1">
    <w:name w:val="ListLabel 125"/>
    <w:qFormat/>
    <w:rsid w:val="008708ce"/>
    <w:rPr>
      <w:rFonts w:cs="Wingdings"/>
    </w:rPr>
  </w:style>
  <w:style w:type="character" w:styleId="ListLabel126" w:customStyle="1">
    <w:name w:val="ListLabel 126"/>
    <w:qFormat/>
    <w:rsid w:val="008708ce"/>
    <w:rPr>
      <w:rFonts w:cs="Symbol"/>
    </w:rPr>
  </w:style>
  <w:style w:type="character" w:styleId="ListLabel127" w:customStyle="1">
    <w:name w:val="ListLabel 127"/>
    <w:qFormat/>
    <w:rsid w:val="008708ce"/>
    <w:rPr>
      <w:rFonts w:cs="Courier New"/>
    </w:rPr>
  </w:style>
  <w:style w:type="character" w:styleId="ListLabel128" w:customStyle="1">
    <w:name w:val="ListLabel 128"/>
    <w:qFormat/>
    <w:rsid w:val="008708ce"/>
    <w:rPr>
      <w:rFonts w:cs="Wingdings"/>
    </w:rPr>
  </w:style>
  <w:style w:type="character" w:styleId="ListLabel129" w:customStyle="1">
    <w:name w:val="ListLabel 129"/>
    <w:qFormat/>
    <w:rsid w:val="008708ce"/>
    <w:rPr>
      <w:rFonts w:cs="Symbol"/>
    </w:rPr>
  </w:style>
  <w:style w:type="character" w:styleId="ListLabel130" w:customStyle="1">
    <w:name w:val="ListLabel 130"/>
    <w:qFormat/>
    <w:rsid w:val="008708ce"/>
    <w:rPr>
      <w:rFonts w:cs="Courier New"/>
    </w:rPr>
  </w:style>
  <w:style w:type="character" w:styleId="ListLabel131" w:customStyle="1">
    <w:name w:val="ListLabel 131"/>
    <w:qFormat/>
    <w:rsid w:val="008708ce"/>
    <w:rPr>
      <w:rFonts w:cs="Wingdings"/>
    </w:rPr>
  </w:style>
  <w:style w:type="character" w:styleId="ListLabel132" w:customStyle="1">
    <w:name w:val="ListLabel 132"/>
    <w:qFormat/>
    <w:rsid w:val="008708ce"/>
    <w:rPr>
      <w:rFonts w:cs="Times New Roman"/>
      <w:sz w:val="24"/>
    </w:rPr>
  </w:style>
  <w:style w:type="character" w:styleId="ListLabel133" w:customStyle="1">
    <w:name w:val="ListLabel 133"/>
    <w:qFormat/>
    <w:rsid w:val="008708ce"/>
    <w:rPr>
      <w:rFonts w:cs="Courier New"/>
    </w:rPr>
  </w:style>
  <w:style w:type="character" w:styleId="ListLabel134" w:customStyle="1">
    <w:name w:val="ListLabel 134"/>
    <w:qFormat/>
    <w:rsid w:val="008708ce"/>
    <w:rPr>
      <w:rFonts w:cs="Wingdings"/>
    </w:rPr>
  </w:style>
  <w:style w:type="character" w:styleId="ListLabel135" w:customStyle="1">
    <w:name w:val="ListLabel 135"/>
    <w:qFormat/>
    <w:rsid w:val="008708ce"/>
    <w:rPr>
      <w:rFonts w:cs="Symbol"/>
    </w:rPr>
  </w:style>
  <w:style w:type="character" w:styleId="ListLabel136" w:customStyle="1">
    <w:name w:val="ListLabel 136"/>
    <w:qFormat/>
    <w:rsid w:val="008708ce"/>
    <w:rPr>
      <w:rFonts w:cs="Courier New"/>
    </w:rPr>
  </w:style>
  <w:style w:type="character" w:styleId="ListLabel137" w:customStyle="1">
    <w:name w:val="ListLabel 137"/>
    <w:qFormat/>
    <w:rsid w:val="008708ce"/>
    <w:rPr>
      <w:rFonts w:cs="Wingdings"/>
    </w:rPr>
  </w:style>
  <w:style w:type="character" w:styleId="ListLabel138" w:customStyle="1">
    <w:name w:val="ListLabel 138"/>
    <w:qFormat/>
    <w:rsid w:val="008708ce"/>
    <w:rPr>
      <w:rFonts w:cs="Symbol"/>
    </w:rPr>
  </w:style>
  <w:style w:type="character" w:styleId="ListLabel139" w:customStyle="1">
    <w:name w:val="ListLabel 139"/>
    <w:qFormat/>
    <w:rsid w:val="008708ce"/>
    <w:rPr>
      <w:rFonts w:cs="Courier New"/>
    </w:rPr>
  </w:style>
  <w:style w:type="character" w:styleId="ListLabel140" w:customStyle="1">
    <w:name w:val="ListLabel 140"/>
    <w:qFormat/>
    <w:rsid w:val="008708ce"/>
    <w:rPr>
      <w:rFonts w:cs="Wingdings"/>
    </w:rPr>
  </w:style>
  <w:style w:type="character" w:styleId="ListLabel141" w:customStyle="1">
    <w:name w:val="ListLabel 141"/>
    <w:qFormat/>
    <w:rsid w:val="008708ce"/>
    <w:rPr>
      <w:rFonts w:cs="Arial"/>
      <w:sz w:val="24"/>
    </w:rPr>
  </w:style>
  <w:style w:type="character" w:styleId="ListLabel142" w:customStyle="1">
    <w:name w:val="ListLabel 142"/>
    <w:qFormat/>
    <w:rsid w:val="008708ce"/>
    <w:rPr>
      <w:rFonts w:cs="Times New Roman"/>
      <w:b/>
      <w:sz w:val="24"/>
    </w:rPr>
  </w:style>
  <w:style w:type="character" w:styleId="ListLabel143" w:customStyle="1">
    <w:name w:val="ListLabel 143"/>
    <w:qFormat/>
    <w:rsid w:val="008708ce"/>
    <w:rPr>
      <w:rFonts w:cs="OpenSymbol"/>
    </w:rPr>
  </w:style>
  <w:style w:type="character" w:styleId="ListLabel144" w:customStyle="1">
    <w:name w:val="ListLabel 144"/>
    <w:qFormat/>
    <w:rsid w:val="008708ce"/>
    <w:rPr>
      <w:rFonts w:cs="OpenSymbol"/>
    </w:rPr>
  </w:style>
  <w:style w:type="character" w:styleId="ListLabel145" w:customStyle="1">
    <w:name w:val="ListLabel 145"/>
    <w:qFormat/>
    <w:rsid w:val="008708ce"/>
    <w:rPr>
      <w:rFonts w:cs="OpenSymbol"/>
    </w:rPr>
  </w:style>
  <w:style w:type="character" w:styleId="ListLabel146" w:customStyle="1">
    <w:name w:val="ListLabel 146"/>
    <w:qFormat/>
    <w:rsid w:val="008708ce"/>
    <w:rPr>
      <w:rFonts w:cs="OpenSymbol"/>
    </w:rPr>
  </w:style>
  <w:style w:type="character" w:styleId="ListLabel147" w:customStyle="1">
    <w:name w:val="ListLabel 147"/>
    <w:qFormat/>
    <w:rsid w:val="008708ce"/>
    <w:rPr>
      <w:rFonts w:cs="OpenSymbol"/>
    </w:rPr>
  </w:style>
  <w:style w:type="character" w:styleId="ListLabel148" w:customStyle="1">
    <w:name w:val="ListLabel 148"/>
    <w:qFormat/>
    <w:rsid w:val="008708ce"/>
    <w:rPr>
      <w:rFonts w:cs="OpenSymbol"/>
    </w:rPr>
  </w:style>
  <w:style w:type="character" w:styleId="ListLabel149" w:customStyle="1">
    <w:name w:val="ListLabel 149"/>
    <w:qFormat/>
    <w:rsid w:val="008708ce"/>
    <w:rPr>
      <w:rFonts w:cs="OpenSymbol"/>
    </w:rPr>
  </w:style>
  <w:style w:type="character" w:styleId="ListLabel150" w:customStyle="1">
    <w:name w:val="ListLabel 150"/>
    <w:qFormat/>
    <w:rsid w:val="008708ce"/>
    <w:rPr>
      <w:rFonts w:cs="OpenSymbol"/>
    </w:rPr>
  </w:style>
  <w:style w:type="character" w:styleId="ListLabel151" w:customStyle="1">
    <w:name w:val="ListLabel 151"/>
    <w:qFormat/>
    <w:rsid w:val="008708ce"/>
    <w:rPr>
      <w:rFonts w:cs="OpenSymbol"/>
    </w:rPr>
  </w:style>
  <w:style w:type="paragraph" w:styleId="Titolo">
    <w:name w:val="Titolo"/>
    <w:basedOn w:val="Normal"/>
    <w:next w:val="Corpodeltesto"/>
    <w:qFormat/>
    <w:pPr>
      <w:keepNext/>
      <w:spacing w:before="240" w:after="120"/>
    </w:pPr>
    <w:rPr>
      <w:rFonts w:ascii="Trebuchet MS" w:hAnsi="Trebuchet MS" w:eastAsia="Microsoft YaHei" w:cs="Mangal"/>
      <w:sz w:val="20"/>
      <w:szCs w:val="28"/>
    </w:rPr>
  </w:style>
  <w:style w:type="paragraph" w:styleId="Corpodeltesto">
    <w:name w:val="Body Text"/>
    <w:basedOn w:val="Normal"/>
    <w:rsid w:val="008708ce"/>
    <w:pPr>
      <w:spacing w:lineRule="auto" w:line="288" w:before="0" w:after="140"/>
    </w:pPr>
    <w:rPr/>
  </w:style>
  <w:style w:type="paragraph" w:styleId="Elenco">
    <w:name w:val="List"/>
    <w:basedOn w:val="Normal"/>
    <w:rsid w:val="008708ce"/>
    <w:pPr>
      <w:widowControl w:val="false"/>
    </w:pPr>
    <w:rPr>
      <w:rFonts w:ascii="Trebuchet MS" w:hAnsi="Trebuchet MS" w:eastAsia="Trebuchet MS" w:cs="Mangal"/>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customStyle="1">
    <w:name w:val="Indice"/>
    <w:basedOn w:val="Normal"/>
    <w:qFormat/>
    <w:rsid w:val="008708ce"/>
    <w:pPr>
      <w:widowControl w:val="false"/>
      <w:suppressLineNumbers/>
    </w:pPr>
    <w:rPr>
      <w:rFonts w:ascii="Trebuchet MS" w:hAnsi="Trebuchet MS" w:eastAsia="Trebuchet MS" w:cs="Mangal"/>
    </w:rPr>
  </w:style>
  <w:style w:type="paragraph" w:styleId="Titoloprincipale">
    <w:name w:val="Title"/>
    <w:qFormat/>
    <w:rsid w:val="008708ce"/>
    <w:pPr>
      <w:keepNext/>
      <w:widowControl w:val="false"/>
      <w:spacing w:before="240" w:after="120"/>
    </w:pPr>
    <w:rPr>
      <w:rFonts w:ascii="Trebuchet MS" w:hAnsi="Trebuchet MS" w:eastAsia="Microsoft YaHei" w:cs="Mangal"/>
      <w:color w:val="auto"/>
      <w:sz w:val="20"/>
      <w:szCs w:val="28"/>
      <w:lang w:val="it-IT" w:eastAsia="en-US" w:bidi="ar-SA"/>
    </w:rPr>
  </w:style>
  <w:style w:type="paragraph" w:styleId="Caption">
    <w:name w:val="caption"/>
    <w:qFormat/>
    <w:rsid w:val="008708ce"/>
    <w:pPr>
      <w:widowControl w:val="false"/>
      <w:suppressLineNumbers/>
      <w:bidi w:val="0"/>
      <w:spacing w:before="120" w:after="120"/>
      <w:jc w:val="left"/>
    </w:pPr>
    <w:rPr>
      <w:rFonts w:ascii="Trebuchet MS" w:hAnsi="Trebuchet MS" w:eastAsia="Trebuchet MS" w:cs="Mangal"/>
      <w:i/>
      <w:iCs/>
      <w:color w:val="00000A"/>
      <w:sz w:val="24"/>
      <w:szCs w:val="24"/>
      <w:lang w:val="it-IT" w:eastAsia="en-US" w:bidi="ar-SA"/>
    </w:rPr>
  </w:style>
  <w:style w:type="paragraph" w:styleId="Titolo1" w:customStyle="1">
    <w:name w:val="Titolo1"/>
    <w:qFormat/>
    <w:rsid w:val="008708ce"/>
    <w:pPr>
      <w:keepNext/>
      <w:widowControl w:val="false"/>
      <w:bidi w:val="0"/>
      <w:spacing w:before="240" w:after="120"/>
      <w:jc w:val="left"/>
    </w:pPr>
    <w:rPr>
      <w:rFonts w:ascii="Trebuchet MS" w:hAnsi="Trebuchet MS" w:eastAsia="Microsoft YaHei" w:cs="Mangal"/>
      <w:color w:val="00000A"/>
      <w:sz w:val="22"/>
      <w:szCs w:val="28"/>
      <w:lang w:val="it-IT" w:eastAsia="en-US" w:bidi="ar-SA"/>
    </w:rPr>
  </w:style>
  <w:style w:type="paragraph" w:styleId="Standard" w:customStyle="1">
    <w:name w:val="Standard"/>
    <w:qFormat/>
    <w:rsid w:val="008708ce"/>
    <w:pPr>
      <w:widowControl/>
      <w:bidi w:val="0"/>
      <w:spacing w:lineRule="auto" w:line="259" w:before="0" w:after="160"/>
      <w:jc w:val="left"/>
    </w:pPr>
    <w:rPr>
      <w:rFonts w:ascii="Calibri" w:hAnsi="Calibri" w:eastAsia="Calibri" w:cs="F"/>
      <w:color w:val="00000A"/>
      <w:sz w:val="22"/>
      <w:szCs w:val="22"/>
      <w:lang w:val="it-IT" w:eastAsia="en-US" w:bidi="ar-SA"/>
    </w:rPr>
  </w:style>
  <w:style w:type="paragraph" w:styleId="Textbody" w:customStyle="1">
    <w:name w:val="Text body"/>
    <w:basedOn w:val="Standard"/>
    <w:qFormat/>
    <w:rsid w:val="008708ce"/>
    <w:pPr>
      <w:spacing w:lineRule="auto" w:line="288" w:before="0" w:after="140"/>
    </w:pPr>
    <w:rPr/>
  </w:style>
  <w:style w:type="paragraph" w:styleId="ListParagraph">
    <w:name w:val="List Paragraph"/>
    <w:basedOn w:val="Standard"/>
    <w:qFormat/>
    <w:rsid w:val="008708ce"/>
    <w:pPr>
      <w:ind w:left="720" w:hanging="0"/>
    </w:pPr>
    <w:rPr/>
  </w:style>
  <w:style w:type="paragraph" w:styleId="Intestazione">
    <w:name w:val="Header"/>
    <w:basedOn w:val="Standard"/>
    <w:rsid w:val="008708ce"/>
    <w:pPr>
      <w:tabs>
        <w:tab w:val="center" w:pos="4819" w:leader="none"/>
        <w:tab w:val="right" w:pos="9638" w:leader="none"/>
      </w:tabs>
      <w:spacing w:lineRule="auto" w:line="240" w:before="0" w:after="0"/>
    </w:pPr>
    <w:rPr/>
  </w:style>
  <w:style w:type="paragraph" w:styleId="Pidipagina">
    <w:name w:val="Footer"/>
    <w:basedOn w:val="Standard"/>
    <w:rsid w:val="008708ce"/>
    <w:pPr>
      <w:tabs>
        <w:tab w:val="center" w:pos="4819" w:leader="none"/>
        <w:tab w:val="right" w:pos="9638" w:leader="none"/>
      </w:tabs>
      <w:spacing w:lineRule="auto" w:line="240" w:before="0" w:after="0"/>
    </w:pPr>
    <w:rPr/>
  </w:style>
  <w:style w:type="paragraph" w:styleId="BalloonText">
    <w:name w:val="Balloon Text"/>
    <w:basedOn w:val="Standard"/>
    <w:qFormat/>
    <w:rsid w:val="008708ce"/>
    <w:pPr>
      <w:spacing w:lineRule="auto" w:line="240" w:before="0" w:after="0"/>
    </w:pPr>
    <w:rPr>
      <w:rFonts w:ascii="Segoe UI" w:hAnsi="Segoe UI" w:eastAsia="Segoe UI" w:cs="Segoe UI"/>
      <w:sz w:val="18"/>
      <w:szCs w:val="18"/>
    </w:rPr>
  </w:style>
  <w:style w:type="paragraph" w:styleId="Default" w:customStyle="1">
    <w:name w:val="Default"/>
    <w:qFormat/>
    <w:rsid w:val="008708ce"/>
    <w:pPr>
      <w:widowControl w:val="false"/>
      <w:bidi w:val="0"/>
      <w:jc w:val="left"/>
    </w:pPr>
    <w:rPr>
      <w:rFonts w:ascii="Arial" w:hAnsi="Arial" w:eastAsia="Calibri" w:cs="F"/>
      <w:color w:val="000000"/>
      <w:sz w:val="24"/>
      <w:szCs w:val="22"/>
      <w:lang w:val="it-IT" w:eastAsia="en-US" w:bidi="ar-SA"/>
    </w:rPr>
  </w:style>
  <w:style w:type="paragraph" w:styleId="Contenutotabella" w:customStyle="1">
    <w:name w:val="Contenuto tabella"/>
    <w:basedOn w:val="Normal"/>
    <w:qFormat/>
    <w:rsid w:val="008708ce"/>
    <w:pPr/>
    <w:rPr/>
  </w:style>
  <w:style w:type="numbering" w:styleId="NoList" w:default="1">
    <w:name w:val="No List"/>
    <w:uiPriority w:val="99"/>
    <w:semiHidden/>
    <w:unhideWhenUsed/>
    <w:qFormat/>
  </w:style>
  <w:style w:type="numbering" w:styleId="Nessunelenco1" w:customStyle="1">
    <w:name w:val="Nessun elenco1"/>
    <w:qFormat/>
    <w:rsid w:val="008708ce"/>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mune.reggioemilia@pec.re.it" TargetMode="Externa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Application>LibreOffice/5.3.4.2$Windows_x86 LibreOffice_project/f82d347ccc0be322489bf7da61d7e4ad13fe2ff3</Application>
  <Pages>8</Pages>
  <Words>2996</Words>
  <Characters>18261</Characters>
  <CharactersWithSpaces>21189</CharactersWithSpaces>
  <Paragraphs>116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2018-11-20T11:59:00Z</dcterms:created>
  <dc:creator>xxxx</dc:creator>
  <dc:description/>
  <dc:language>it-IT</dc:language>
  <cp:lastModifiedBy>Natalia Bertani</cp:lastModifiedBy>
  <cp:lastPrinted>2018-11-20T09:48:00Z</cp:lastPrinted>
  <dcterms:modified xsi:type="dcterms:W3CDTF">2018-11-20T13:09:32Z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