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olo1"/>
        <w:spacing w:lineRule="auto" w:line="247" w:before="0" w:after="113"/>
        <w:ind w:left="1134" w:right="0" w:hanging="1134"/>
        <w:rPr>
          <w:rFonts w:cs="Trebuchet MS"/>
          <w:color w:val="00000A"/>
          <w:sz w:val="22"/>
          <w:szCs w:val="22"/>
          <w:u w:val="none"/>
        </w:rPr>
      </w:pPr>
      <w:r>
        <w:rPr>
          <w:rFonts w:cs="Trebuchet MS"/>
          <w:color w:val="00000A"/>
          <w:sz w:val="22"/>
          <w:szCs w:val="22"/>
          <w:u w:val="none"/>
        </w:rPr>
        <w:t>Art. 1</w:t>
        <w:tab/>
        <w:t>Premesse</w:t>
      </w:r>
    </w:p>
    <w:p>
      <w:pPr>
        <w:pStyle w:val="Titolo1"/>
        <w:spacing w:lineRule="auto" w:line="247" w:before="0" w:after="113"/>
        <w:ind w:left="1134" w:right="0" w:hanging="1134"/>
        <w:rPr>
          <w:color w:val="00000A"/>
        </w:rPr>
      </w:pPr>
      <w:r>
        <w:rPr>
          <w:rFonts w:cs="Trebuchet MS"/>
          <w:color w:val="00000A"/>
          <w:sz w:val="22"/>
          <w:szCs w:val="22"/>
          <w:u w:val="none"/>
        </w:rPr>
        <w:t>Art. 2</w:t>
        <w:tab/>
        <w:t>A</w:t>
      </w:r>
      <w:r>
        <w:rPr>
          <w:rFonts w:eastAsia="SimSun, 'Arial Unicode MS'" w:cs="Trebuchet MS"/>
          <w:color w:val="00000A"/>
          <w:sz w:val="22"/>
          <w:u w:val="none"/>
        </w:rPr>
        <w:t>tti di accordo, convenzioni urbanistiche ed accordi territoriali</w:t>
      </w:r>
    </w:p>
    <w:p>
      <w:pPr>
        <w:pStyle w:val="Titolo1"/>
        <w:spacing w:lineRule="auto" w:line="247" w:before="0" w:after="113"/>
        <w:ind w:left="1134" w:right="0" w:hanging="1134"/>
        <w:rPr>
          <w:rFonts w:cs="Trebuchet MS"/>
          <w:color w:val="00000A"/>
          <w:sz w:val="22"/>
          <w:szCs w:val="22"/>
          <w:u w:val="none"/>
        </w:rPr>
      </w:pPr>
      <w:r>
        <w:rPr>
          <w:rFonts w:cs="Trebuchet MS"/>
          <w:color w:val="00000A"/>
          <w:sz w:val="22"/>
          <w:szCs w:val="22"/>
          <w:u w:val="none"/>
        </w:rPr>
        <w:t>Art. 3</w:t>
        <w:tab/>
        <w:t>Oggetto della convenzione</w:t>
      </w:r>
    </w:p>
    <w:p>
      <w:pPr>
        <w:pStyle w:val="Titolo1"/>
        <w:spacing w:lineRule="auto" w:line="247" w:before="0" w:after="113"/>
        <w:ind w:left="1134" w:right="0" w:hanging="1134"/>
        <w:rPr>
          <w:color w:val="00000A"/>
        </w:rPr>
      </w:pPr>
      <w:r>
        <w:rPr>
          <w:rFonts w:cs="Trebuchet MS"/>
          <w:color w:val="00000A"/>
          <w:sz w:val="22"/>
          <w:szCs w:val="22"/>
          <w:u w:val="none"/>
        </w:rPr>
        <w:t>Art. 4</w:t>
        <w:tab/>
      </w:r>
      <w:r>
        <w:rPr>
          <w:rFonts w:eastAsia="SimSun, 'Arial Unicode MS'" w:cs="Trebuchet MS"/>
          <w:color w:val="00000A"/>
          <w:sz w:val="22"/>
          <w:szCs w:val="22"/>
          <w:u w:val="none"/>
        </w:rPr>
        <w:t>Descrizione degli interventi, finalità e obiettivi del PRU</w:t>
      </w:r>
    </w:p>
    <w:p>
      <w:pPr>
        <w:pStyle w:val="Standard"/>
        <w:widowControl w:val="false"/>
        <w:tabs>
          <w:tab w:val="right" w:pos="10674" w:leader="none"/>
        </w:tabs>
        <w:spacing w:lineRule="auto" w:line="247" w:before="0" w:after="113"/>
        <w:ind w:left="1134" w:hanging="1134"/>
        <w:jc w:val="both"/>
        <w:rPr>
          <w:color w:val="00000A"/>
        </w:rPr>
      </w:pPr>
      <w:r>
        <w:rPr>
          <w:rFonts w:cs="Trebuchet MS" w:ascii="Trebuchet MS" w:hAnsi="Trebuchet MS"/>
          <w:color w:val="00000A"/>
          <w:sz w:val="22"/>
          <w:szCs w:val="22"/>
        </w:rPr>
        <w:t>Art. 5</w:t>
        <w:tab/>
      </w:r>
      <w:r>
        <w:rPr>
          <w:rFonts w:eastAsia="SimSun, 'Arial Unicode MS'" w:cs="Trebuchet MS" w:ascii="Trebuchet MS" w:hAnsi="Trebuchet MS"/>
          <w:color w:val="00000A"/>
          <w:sz w:val="22"/>
          <w:szCs w:val="22"/>
          <w:lang w:bidi="hi-IN"/>
        </w:rPr>
        <w:t>Contenuti della convenzione: interventi, destinazioni d’uso, indici e quantità di progetto del PRU</w:t>
      </w:r>
    </w:p>
    <w:p>
      <w:pPr>
        <w:pStyle w:val="Standard"/>
        <w:widowControl w:val="false"/>
        <w:tabs>
          <w:tab w:val="right" w:pos="10674" w:leader="none"/>
        </w:tabs>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6</w:t>
        <w:tab/>
        <w:t>Concorso alla realizzazione delle dotazioni territoriali</w:t>
      </w:r>
    </w:p>
    <w:p>
      <w:pPr>
        <w:pStyle w:val="Standard"/>
        <w:widowControl w:val="false"/>
        <w:tabs>
          <w:tab w:val="right" w:pos="10674" w:leader="none"/>
        </w:tabs>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7</w:t>
        <w:tab/>
        <w:t>Potenzialità edificatorie residue del sub-comparto “PRU_IP-1a.bis”</w:t>
      </w:r>
    </w:p>
    <w:p>
      <w:pPr>
        <w:pStyle w:val="Standard"/>
        <w:widowControl w:val="false"/>
        <w:tabs>
          <w:tab w:val="right" w:pos="10674" w:leader="none"/>
        </w:tabs>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8</w:t>
        <w:tab/>
        <w:t>Oneri a carico del soggetto attuatore</w:t>
      </w:r>
    </w:p>
    <w:p>
      <w:pPr>
        <w:pStyle w:val="Standard"/>
        <w:widowControl w:val="false"/>
        <w:tabs>
          <w:tab w:val="right" w:pos="10674" w:leader="none"/>
        </w:tabs>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9</w:t>
        <w:tab/>
        <w:t>Cessione e/o costituzione di servitù di uso pubblico in relazione alle aree destinate alla realizzazione di infrastrutture per l’urbanizzazione degli insediamenti ed eventuale monetizzazione</w:t>
      </w:r>
    </w:p>
    <w:p>
      <w:pPr>
        <w:pStyle w:val="Standard"/>
        <w:widowControl w:val="false"/>
        <w:tabs>
          <w:tab w:val="right" w:pos="10674" w:leader="none"/>
        </w:tabs>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10</w:t>
        <w:tab/>
        <w:t>Cessione e/o asservimento ad uso pubblico delle aree destinate alla realizzazione di attrezzature e spazi collettivi</w:t>
      </w:r>
    </w:p>
    <w:p>
      <w:pPr>
        <w:pStyle w:val="Standard"/>
        <w:widowControl w:val="false"/>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11</w:t>
        <w:tab/>
        <w:t>Realizzazione delle infrastrutture per l’urbanizzazione degli insediamenti</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12</w:t>
        <w:tab/>
        <w:t>Caratteristiche tecniche delle infrastrutture per l’urbanizzazione degli insediamenti</w:t>
      </w:r>
    </w:p>
    <w:p>
      <w:pPr>
        <w:pStyle w:val="Standard"/>
        <w:widowControl w:val="false"/>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13</w:t>
        <w:tab/>
        <w:t>M</w:t>
      </w:r>
      <w:r>
        <w:rPr>
          <w:rFonts w:cs="Trebuchet MS" w:ascii="Trebuchet MS" w:hAnsi="Trebuchet MS"/>
          <w:color w:val="00000A"/>
          <w:sz w:val="22"/>
          <w:szCs w:val="22"/>
        </w:rPr>
        <w:t>odalità di esecuzione delle infrastrutture per l’urbanizzazione degli insediamenti</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14</w:t>
        <w:tab/>
        <w:t>Realizzazione e collaudo delle infrastrutture per l’urbanizzazione degli insediamenti</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15</w:t>
        <w:tab/>
        <w:t>Contributo per costi sostenuti dall’Amministrazione Comunale</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16</w:t>
        <w:tab/>
        <w:t>Realizzazione delle “Aree per il verde pubblico e attrezzature e spazi collettivi” (SVP) previste nel PRU</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17</w:t>
        <w:tab/>
        <w:t>Esonero dal contributo di costruzione</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18</w:t>
        <w:tab/>
        <w:t xml:space="preserve">Garanzie finanziarie </w:t>
      </w:r>
    </w:p>
    <w:p>
      <w:pPr>
        <w:pStyle w:val="Standard"/>
        <w:widowControl w:val="false"/>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19</w:t>
        <w:tab/>
        <w:t>Elementi progettuali di massima dell’intervento e modifiche al PRU</w:t>
      </w:r>
    </w:p>
    <w:p>
      <w:pPr>
        <w:pStyle w:val="Standard"/>
        <w:widowControl w:val="false"/>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20</w:t>
        <w:tab/>
        <w:t>Esecuzione del PRU, rilascio del titolo abilitativo alla</w:t>
      </w:r>
      <w:r>
        <w:rPr>
          <w:rFonts w:eastAsia="Trebuchet MS" w:cs="Trebuchet MS" w:ascii="Trebuchet MS" w:hAnsi="Trebuchet MS"/>
          <w:color w:val="00000A"/>
          <w:sz w:val="22"/>
          <w:szCs w:val="22"/>
          <w:lang w:bidi="hi-IN"/>
        </w:rPr>
        <w:t xml:space="preserve"> </w:t>
      </w:r>
      <w:r>
        <w:rPr>
          <w:rFonts w:eastAsia="SimSun, 'Arial Unicode MS'" w:cs="Trebuchet MS" w:ascii="Trebuchet MS" w:hAnsi="Trebuchet MS"/>
          <w:color w:val="00000A"/>
          <w:sz w:val="22"/>
          <w:szCs w:val="22"/>
          <w:lang w:bidi="hi-IN"/>
        </w:rPr>
        <w:t>costruzione degli edifici e agibilità dei fabbricati</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21</w:t>
        <w:tab/>
        <w:t>Termini di inizio e ultimazione delle opere e degli edifici</w:t>
      </w:r>
    </w:p>
    <w:p>
      <w:pPr>
        <w:pStyle w:val="Standard"/>
        <w:widowControl w:val="false"/>
        <w:spacing w:lineRule="auto" w:line="247" w:before="0" w:after="113"/>
        <w:ind w:left="1134" w:hanging="1134"/>
        <w:jc w:val="both"/>
        <w:rPr>
          <w:color w:val="00000A"/>
        </w:rPr>
      </w:pPr>
      <w:r>
        <w:rPr>
          <w:rFonts w:eastAsia="SimSun, 'Arial Unicode MS'" w:cs="Trebuchet MS" w:ascii="Trebuchet MS" w:hAnsi="Trebuchet MS"/>
          <w:color w:val="00000A"/>
          <w:sz w:val="22"/>
          <w:szCs w:val="22"/>
          <w:lang w:bidi="hi-IN"/>
        </w:rPr>
        <w:t>Art. 22</w:t>
        <w:tab/>
        <w:t>Rapporti tra il soggetto attuatore ed i suoi successori e/o aventi causa</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23</w:t>
        <w:tab/>
        <w:t>Oneri e spese</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24</w:t>
        <w:tab/>
        <w:t>Controversie</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Art. 25</w:t>
        <w:tab/>
        <w:t>Sanzioni ed eventuali escussioni</w:t>
      </w:r>
    </w:p>
    <w:p>
      <w:pPr>
        <w:pStyle w:val="Standard"/>
        <w:widowControl w:val="false"/>
        <w:spacing w:lineRule="auto" w:line="247" w:before="0" w:after="113"/>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r>
      <w:r>
        <w:br w:type="page"/>
      </w:r>
    </w:p>
    <w:p>
      <w:pPr>
        <w:pStyle w:val="Standard"/>
        <w:widowControl w:val="false"/>
        <w:tabs>
          <w:tab w:val="left" w:pos="1914" w:leader="none"/>
        </w:tabs>
        <w:spacing w:lineRule="auto" w:line="348"/>
        <w:ind w:left="1134" w:hanging="113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r>
      <w:r>
        <w:br w:type="page"/>
      </w:r>
    </w:p>
    <w:p>
      <w:pPr>
        <w:pStyle w:val="Standard"/>
        <w:tabs>
          <w:tab w:val="left" w:pos="1800"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1</w:t>
        <w:tab/>
        <w:t>-</w:t>
        <w:tab/>
        <w:t>Premesse</w:t>
      </w:r>
    </w:p>
    <w:p>
      <w:pPr>
        <w:pStyle w:val="Standard"/>
        <w:tabs>
          <w:tab w:val="left" w:pos="1800" w:leader="none"/>
        </w:tabs>
        <w:ind w:left="1020" w:hanging="1020"/>
        <w:jc w:val="both"/>
        <w:rPr>
          <w:rFonts w:ascii="Trebuchet MS" w:hAnsi="Trebuchet MS" w:eastAsia="Trebuchet MS" w:cs="Trebuchet MS"/>
          <w:b/>
          <w:b/>
          <w:bCs/>
          <w:color w:val="00000A"/>
          <w:sz w:val="22"/>
          <w:szCs w:val="22"/>
        </w:rPr>
      </w:pPr>
      <w:r>
        <w:rPr>
          <w:rFonts w:eastAsia="Trebuchet MS" w:cs="Trebuchet MS" w:ascii="Trebuchet MS" w:hAnsi="Trebuchet MS"/>
          <w:b/>
          <w:bCs/>
          <w:color w:val="00000A"/>
          <w:sz w:val="22"/>
          <w:szCs w:val="22"/>
        </w:rPr>
      </w:r>
    </w:p>
    <w:p>
      <w:pPr>
        <w:pStyle w:val="Textbody"/>
        <w:spacing w:lineRule="auto" w:line="240"/>
        <w:ind w:left="567" w:right="0" w:hanging="567"/>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Le seguenti premesse costituiscono parte integrante, sostanziale e costitutiva della presente convenzione, evidenziando le stesse, anche ai sensi dell’art. 1362 del Codice Civile la comune intenzione delle Parti, Comune di Reggio Emilia e soggetto attuatore, nella stipulazione del presente atto.</w:t>
      </w:r>
    </w:p>
    <w:p>
      <w:pPr>
        <w:pStyle w:val="Standard"/>
        <w:jc w:val="both"/>
        <w:rPr>
          <w:rFonts w:ascii="Trebuchet MS" w:hAnsi="Trebuchet MS" w:eastAsia="SimSun, 'Arial Unicode MS'" w:cs="Trebuchet MS"/>
          <w:bCs/>
          <w:color w:val="00000A"/>
          <w:sz w:val="22"/>
          <w:szCs w:val="22"/>
          <w:lang w:bidi="hi-IN"/>
        </w:rPr>
      </w:pPr>
      <w:r>
        <w:rPr>
          <w:rFonts w:eastAsia="SimSun, 'Arial Unicode MS'" w:cs="Trebuchet MS" w:ascii="Trebuchet MS" w:hAnsi="Trebuchet MS"/>
          <w:bCs/>
          <w:color w:val="00000A"/>
          <w:sz w:val="22"/>
          <w:szCs w:val="22"/>
          <w:lang w:bidi="hi-IN"/>
        </w:rPr>
      </w:r>
    </w:p>
    <w:p>
      <w:pPr>
        <w:pStyle w:val="Standard"/>
        <w:ind w:left="567" w:hanging="567"/>
        <w:jc w:val="both"/>
        <w:rPr>
          <w:color w:val="00000A"/>
        </w:rPr>
      </w:pPr>
      <w:r>
        <w:rPr>
          <w:rFonts w:eastAsia="SimSun, 'Arial Unicode MS'" w:cs="Trebuchet MS" w:ascii="Trebuchet MS" w:hAnsi="Trebuchet MS"/>
          <w:b/>
          <w:bCs/>
          <w:color w:val="00000A"/>
          <w:sz w:val="22"/>
          <w:szCs w:val="22"/>
          <w:lang w:bidi="hi-IN"/>
        </w:rPr>
        <w:t>2.</w:t>
      </w:r>
      <w:r>
        <w:rPr>
          <w:rFonts w:eastAsia="SimSun, 'Arial Unicode MS'" w:cs="Trebuchet MS" w:ascii="Trebuchet MS" w:hAnsi="Trebuchet MS"/>
          <w:bCs/>
          <w:color w:val="00000A"/>
          <w:sz w:val="22"/>
          <w:szCs w:val="22"/>
          <w:lang w:bidi="hi-IN"/>
        </w:rPr>
        <w:tab/>
        <w:t>Il Piano Strutturale Comunale (PSC), approvato con DCC n. 5167/70 del 05.04.2011, individua a</w:t>
      </w:r>
      <w:r>
        <w:rPr>
          <w:rFonts w:cs="Trebuchet MS" w:ascii="Trebuchet MS" w:hAnsi="Trebuchet MS"/>
          <w:color w:val="00000A"/>
          <w:sz w:val="22"/>
          <w:szCs w:val="22"/>
        </w:rPr>
        <w:t>ll’art. 5.8 del Capo V “Attuazione del PSC attraverso il Piano Operativo Comunale (POC)” 7 Poli funzionali, ai sensi dell’art. A-15 della LR 20/2000 e s.m.i.; trai i 7 Poli funzionali rientra l’ambito PF-4 “Stazione ferroviaria, Centro Intermodale (CIM) ed ex Officine Reggiane” che si caratterizza come ambito vocato al potenziamento, riqualificazione e connessione fra l’Area Nord, il quartiere Santa Croce, il Centro Internazionale Loris Malaguzzi e l’area Campo Volo, nonché quale elemento di relazione urbana e spaziale con l’area a sud della stazione ferroviaria storica, il Campus universitario di San Lazzaro e il centro storico.</w:t>
      </w:r>
    </w:p>
    <w:p>
      <w:pPr>
        <w:pStyle w:val="Standard"/>
        <w:ind w:left="567" w:hanging="0"/>
        <w:jc w:val="both"/>
        <w:rPr>
          <w:color w:val="00000A"/>
        </w:rPr>
      </w:pPr>
      <w:r>
        <w:rPr>
          <w:rFonts w:eastAsia="SimSun, 'Arial Unicode MS'" w:cs="Trebuchet MS" w:ascii="Trebuchet MS" w:hAnsi="Trebuchet MS"/>
          <w:bCs/>
          <w:color w:val="00000A"/>
          <w:sz w:val="22"/>
          <w:szCs w:val="22"/>
          <w:lang w:bidi="hi-IN"/>
        </w:rPr>
        <w:t xml:space="preserve">Lo stesso PSC individua </w:t>
      </w:r>
      <w:r>
        <w:rPr>
          <w:rFonts w:cs="Trebuchet MS" w:ascii="Trebuchet MS" w:hAnsi="Trebuchet MS"/>
          <w:color w:val="00000A"/>
          <w:sz w:val="22"/>
          <w:szCs w:val="22"/>
        </w:rPr>
        <w:t>all’art. 5.5 del Capo V “Attuazione del PSC attraverso il Piano Operativo Comunale (POC)” 23 ambiti da riqualificare, ai sensi dall’art. A-11 della LR 20/2000 e s.m.i.; tra i 23 ambiti da riqualificare rientra l’Ambito AR-10 “Ambito Santa Croce” che si caratterizza per la compresenza di tessuti residenziali e di tessuti produttivi -in gran parte dismessi- sorti nell’immediato contesto della stazione ferroviaria storica.</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3.</w:t>
      </w:r>
      <w:r>
        <w:rPr>
          <w:rFonts w:eastAsia="SimSun, 'Arial Unicode MS'" w:cs="Trebuchet MS" w:ascii="Trebuchet MS" w:hAnsi="Trebuchet MS"/>
          <w:color w:val="00000A"/>
          <w:sz w:val="22"/>
          <w:szCs w:val="22"/>
          <w:lang w:bidi="hi-IN"/>
        </w:rPr>
        <w:tab/>
        <w:t>I</w:t>
      </w:r>
      <w:r>
        <w:rPr>
          <w:rFonts w:eastAsia="SimSun, 'Arial Unicode MS'" w:cs="Trebuchet MS" w:ascii="Trebuchet MS" w:hAnsi="Trebuchet MS"/>
          <w:bCs/>
          <w:color w:val="00000A"/>
          <w:sz w:val="22"/>
          <w:szCs w:val="22"/>
          <w:lang w:bidi="hi-IN"/>
        </w:rPr>
        <w:t xml:space="preserve">l </w:t>
      </w:r>
      <w:r>
        <w:rPr>
          <w:rFonts w:eastAsia="SimSun, 'Arial Unicode MS'" w:cs="Trebuchet MS" w:ascii="Trebuchet MS" w:hAnsi="Trebuchet MS"/>
          <w:color w:val="00000A"/>
          <w:sz w:val="22"/>
          <w:szCs w:val="22"/>
          <w:lang w:bidi="hi-IN"/>
        </w:rPr>
        <w:t xml:space="preserve">Documento Programmatico per la Qualità Urbana (DPQU) relativo all’Area Reggiane e al quartiere Santa Croce, approvato con DGC n. 20055/285 del 15.11.2011 ai sensi dell’art. 41 della LR 20/2000 e s.m.i., conferma la strategia prevista nel Masterplan per l’intera Area Nord e descritta nel </w:t>
      </w:r>
      <w:r>
        <w:rPr>
          <w:rFonts w:eastAsia="SimSun, 'Arial Unicode MS'" w:cs="Trebuchet MS" w:ascii="Trebuchet MS" w:hAnsi="Trebuchet MS"/>
          <w:bCs/>
          <w:color w:val="00000A"/>
          <w:sz w:val="22"/>
          <w:szCs w:val="22"/>
          <w:lang w:bidi="hi-IN"/>
        </w:rPr>
        <w:t>Documento di indirizzi per la stesura del primo Piano Operativo Comunale (POC), approvato con DCC n. 5168/75 del 18.04.2011</w:t>
      </w:r>
      <w:r>
        <w:rPr>
          <w:rFonts w:eastAsia="SimSun, 'Arial Unicode MS'" w:cs="Trebuchet MS" w:ascii="Trebuchet MS" w:hAnsi="Trebuchet MS"/>
          <w:color w:val="00000A"/>
          <w:sz w:val="22"/>
          <w:szCs w:val="22"/>
          <w:lang w:bidi="hi-IN"/>
        </w:rPr>
        <w:t>. Il DPQU definisce, per mezzo di uno “Schema progettuale guida”, i principali temi posti a monte del “progetto urbano” di riqualificazione dell’intero ambito da “recepire all’interno di specifici Programmi di Riqualificazione Urbana (PRU)” al fine di trasformare l’area delle “ex Officine Reggiane” nel “Parco della conoscenza, innovazione e creatività”. Lo “Schema progettuale guida” del DPQU, da perseguire nell’attuazione degli interventi, ancorché realizzati in diversi stralci funzionali attuativi, ha esclusivamente valore di indirizzo programmatico per la redazione dei successivi stralci funzionali attuativi che di volta in volta lo andranno ad approfondire e precisare.</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eastAsia="SimSun, 'Arial Unicode MS'" w:cs="Trebuchet MS" w:ascii="Trebuchet MS" w:hAnsi="Trebuchet MS"/>
          <w:b/>
          <w:bCs/>
          <w:color w:val="00000A"/>
          <w:sz w:val="22"/>
          <w:szCs w:val="22"/>
          <w:lang w:bidi="hi-IN"/>
        </w:rPr>
        <w:t>4.</w:t>
      </w:r>
      <w:r>
        <w:rPr>
          <w:rFonts w:eastAsia="SimSun, 'Arial Unicode MS'" w:cs="Trebuchet MS" w:ascii="Trebuchet MS" w:hAnsi="Trebuchet MS"/>
          <w:color w:val="00000A"/>
          <w:sz w:val="22"/>
          <w:szCs w:val="22"/>
          <w:lang w:bidi="hi-IN"/>
        </w:rPr>
        <w:tab/>
        <w:t>Il Piano Operativo Comunale (POC) approvato con DCC n. 9170/52 del 17.03.2014 individua, nella tavola PO.1.2 “DPQU - Programmi di Riqualificazione Urbana”, il “PRU_IP-1 - Santa Croce - Area Reggiane” che ricomprende al proprio interno sia il sub-ambito “Area Reggiane” del polo funzionale PF-4 “Stazione ferroviaria, Centro Intermodale (CIM) ed ex Officine Reggiane” che l’Ambito di riqualificazione AR-10 “Ambito Santa Croce”.</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eastAsia="SimSun, 'Arial Unicode MS'" w:cs="Trebuchet MS" w:ascii="Trebuchet MS" w:hAnsi="Trebuchet MS"/>
          <w:b/>
          <w:bCs/>
          <w:color w:val="00000A"/>
          <w:sz w:val="22"/>
          <w:szCs w:val="22"/>
          <w:lang w:bidi="hi-IN"/>
        </w:rPr>
        <w:t>5.</w:t>
        <w:tab/>
      </w:r>
      <w:r>
        <w:rPr>
          <w:rFonts w:eastAsia="SimSun, 'Arial Unicode MS'" w:cs="Trebuchet MS" w:ascii="Trebuchet MS" w:hAnsi="Trebuchet MS"/>
          <w:bCs/>
          <w:color w:val="00000A"/>
          <w:sz w:val="22"/>
          <w:szCs w:val="22"/>
          <w:lang w:bidi="hi-IN"/>
        </w:rPr>
        <w:t xml:space="preserve">Il Programma di Riqualificazione Urbana (PRU) </w:t>
      </w:r>
      <w:r>
        <w:rPr>
          <w:rFonts w:eastAsia="SimSun, 'Arial Unicode MS'" w:cs="Trebuchet MS" w:ascii="Trebuchet MS" w:hAnsi="Trebuchet MS"/>
          <w:color w:val="00000A"/>
          <w:sz w:val="22"/>
          <w:szCs w:val="22"/>
          <w:lang w:bidi="hi-IN"/>
        </w:rPr>
        <w:t>denominato “PRU_IP-1a - Ambito Centro Intermodale (CIM) e ex Officine Reggiane - Capannone 19, capannone 18, capannone 17, piazzale Europa e braccio storico di viale Ramazzini”, approvato con DCC n. 42894/174 del 15.12.2014 attraverso lo strumento del Procedimento Unico semplificato di cui artt. 36 octies, 36 bis e seguenti della LR 20/2000 e s.m.i., disciplina un primo stralcio attuativo relativo ad aree che ricadono all’interno del sub-ambito “Area Reggiane”, parte del Polo funzionale PF-4 “Stazione ferroviaria, Centro Intermodale (CIM) ed ex Officine Reggiane”; tale sub-ambito, individuato al fine di perseguire gli obiettivi di carattere urbanistico, edilizio e sociale definiti dalla LR 19/1998 e s.m.i. e dal PSC approvato, si attua, anche per successivi stralci funzionali, mediante Programmi di Riqualificazione Urbana (PRU).</w:t>
      </w:r>
    </w:p>
    <w:p>
      <w:pPr>
        <w:pStyle w:val="Standard"/>
        <w:ind w:left="567" w:hanging="0"/>
        <w:jc w:val="both"/>
        <w:rPr>
          <w:color w:val="00000A"/>
        </w:rPr>
      </w:pPr>
      <w:r>
        <w:rPr>
          <w:rFonts w:eastAsia="SimSun, 'Arial Unicode MS'" w:cs="Trebuchet MS" w:ascii="Trebuchet MS" w:hAnsi="Trebuchet MS"/>
          <w:color w:val="00000A"/>
          <w:sz w:val="22"/>
          <w:szCs w:val="22"/>
          <w:lang w:bidi="hi-IN"/>
        </w:rPr>
        <w:t xml:space="preserve">Il perimetro del “PRU_IP-1a”, primo stralcio attuativo, non si estende pertanto alla totalità delle aree inserite nel PF-4 “Stazione ferroviaria, Centro Intermodale (CIM) ed ex officine Reggiane” e/o nel “PRU_IP-1 - Santa Croce - Area Reggiane” del POC, ma si sviluppa, in conformità a quanto consentito dagli artt. 1 e 4 della LR 19/1998 e s.m.i. e dall’art. 5.8 comma 4 delle NdA del PSC, soltanto su parte di esse. </w:t>
      </w:r>
      <w:r>
        <w:rPr>
          <w:rFonts w:cs="Trebuchet MS" w:ascii="Trebuchet MS" w:hAnsi="Trebuchet MS"/>
          <w:bCs/>
          <w:color w:val="00000A"/>
          <w:sz w:val="22"/>
          <w:szCs w:val="22"/>
        </w:rPr>
        <w:t xml:space="preserve">Il Programma di Riqualificazione Urbana (PRU) </w:t>
      </w:r>
      <w:r>
        <w:rPr>
          <w:rFonts w:eastAsia="Trebuchet MS" w:cs="Trebuchet MS" w:ascii="Trebuchet MS" w:hAnsi="Trebuchet MS"/>
          <w:color w:val="00000A"/>
          <w:sz w:val="22"/>
          <w:szCs w:val="22"/>
        </w:rPr>
        <w:t xml:space="preserve">denominato </w:t>
      </w:r>
      <w:r>
        <w:rPr>
          <w:rFonts w:eastAsia="Trebuchet MS" w:cs="Trebuchet MS" w:ascii="Trebuchet MS" w:hAnsi="Trebuchet MS"/>
          <w:b/>
          <w:bCs/>
          <w:color w:val="00000A"/>
          <w:sz w:val="22"/>
          <w:szCs w:val="22"/>
        </w:rPr>
        <w:t>“PRU_IP - Bando Periferie Reggiane/SantaCroce”</w:t>
      </w:r>
      <w:r>
        <w:rPr>
          <w:rFonts w:eastAsia="Trebuchet MS" w:cs="Trebuchet MS" w:ascii="Trebuchet MS" w:hAnsi="Trebuchet MS"/>
          <w:color w:val="00000A"/>
          <w:sz w:val="22"/>
          <w:szCs w:val="22"/>
        </w:rPr>
        <w:t>, oggetto della presente convenzione urbanistica estende ed integra il</w:t>
      </w:r>
      <w:r>
        <w:rPr>
          <w:rFonts w:eastAsia="SimSun, 'Arial Unicode MS'" w:cs="Trebuchet MS" w:ascii="Trebuchet MS" w:hAnsi="Trebuchet MS"/>
          <w:color w:val="00000A"/>
          <w:sz w:val="22"/>
          <w:szCs w:val="22"/>
          <w:lang w:bidi="hi-IN"/>
        </w:rPr>
        <w:t xml:space="preserve"> “PRU_IP-1a” sopra descritto e si sviluppa, </w:t>
      </w:r>
      <w:r>
        <w:rPr>
          <w:rFonts w:eastAsia="Trebuchet MS" w:cs="Trebuchet MS" w:ascii="Trebuchet MS" w:hAnsi="Trebuchet MS"/>
          <w:color w:val="00000A"/>
          <w:sz w:val="22"/>
          <w:szCs w:val="22"/>
        </w:rPr>
        <w:t>i</w:t>
      </w:r>
      <w:r>
        <w:rPr>
          <w:rFonts w:eastAsia="SimSun, 'Arial Unicode MS'" w:cs="Trebuchet MS" w:ascii="Trebuchet MS" w:hAnsi="Trebuchet MS"/>
          <w:color w:val="00000A"/>
          <w:sz w:val="22"/>
          <w:szCs w:val="22"/>
          <w:lang w:bidi="hi-IN"/>
        </w:rPr>
        <w:t xml:space="preserve">n relazione alle caratteristiche urbanistiche delle aree che lo compongono e agli ambiti territoriali di riferimento (Polo funzionale PF-4 e Ambito di riqualificazione AR-10) nei due distinti sub-comparti descritti nell’art. 3. </w:t>
      </w:r>
    </w:p>
    <w:p>
      <w:pPr>
        <w:pStyle w:val="Standard"/>
        <w:jc w:val="both"/>
        <w:rPr>
          <w:rFonts w:ascii="Trebuchet MS" w:hAnsi="Trebuchet MS" w:cs="Trebuchet MS"/>
          <w:color w:val="00000A"/>
        </w:rPr>
      </w:pPr>
      <w:r>
        <w:rPr>
          <w:rFonts w:cs="Trebuchet MS" w:ascii="Trebuchet MS" w:hAnsi="Trebuchet MS"/>
          <w:color w:val="00000A"/>
        </w:rPr>
      </w:r>
    </w:p>
    <w:p>
      <w:pPr>
        <w:pStyle w:val="Standard"/>
        <w:widowControl w:val="false"/>
        <w:spacing w:lineRule="atLeast" w:line="200"/>
        <w:ind w:left="567" w:hanging="567"/>
        <w:jc w:val="both"/>
        <w:rPr>
          <w:rFonts w:ascii="Trebuchet MS" w:hAnsi="Trebuchet MS" w:cs="Trebuchet MS"/>
          <w:color w:val="00000A"/>
        </w:rPr>
      </w:pPr>
      <w:r>
        <w:rPr>
          <w:rFonts w:cs="Trebuchet MS" w:ascii="Trebuchet MS" w:hAnsi="Trebuchet MS"/>
          <w:color w:val="00000A"/>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2</w:t>
        <w:tab/>
        <w:t>-</w:t>
        <w:tab/>
        <w:t>Atti di accordo, convenzioni urbanistiche ed accordi territoriali</w:t>
      </w:r>
    </w:p>
    <w:p>
      <w:pPr>
        <w:pStyle w:val="Standard"/>
        <w:widowControl w:val="false"/>
        <w:ind w:left="1020" w:hanging="1020"/>
        <w:jc w:val="both"/>
        <w:rPr>
          <w:rFonts w:ascii="Trebuchet MS" w:hAnsi="Trebuchet MS" w:eastAsia="SimSun, 'Arial Unicode MS'" w:cs="Trebuchet MS"/>
          <w:b/>
          <w:b/>
          <w:bCs/>
          <w:color w:val="00000A"/>
          <w:sz w:val="22"/>
          <w:szCs w:val="22"/>
          <w:lang w:bidi="hi-IN"/>
        </w:rPr>
      </w:pPr>
      <w:r>
        <w:rPr>
          <w:rFonts w:eastAsia="SimSun, 'Arial Unicode MS'" w:cs="Trebuchet MS" w:ascii="Trebuchet MS" w:hAnsi="Trebuchet MS"/>
          <w:b/>
          <w:bCs/>
          <w:color w:val="00000A"/>
          <w:sz w:val="22"/>
          <w:szCs w:val="22"/>
          <w:lang w:bidi="hi-IN"/>
        </w:rPr>
      </w:r>
    </w:p>
    <w:p>
      <w:pPr>
        <w:pStyle w:val="Standard"/>
        <w:widowControl w:val="false"/>
        <w:ind w:left="567" w:hanging="567"/>
        <w:jc w:val="both"/>
        <w:rPr>
          <w:color w:val="00000A"/>
        </w:rPr>
      </w:pPr>
      <w:r>
        <w:rPr>
          <w:rFonts w:cs="Trebuchet MS" w:ascii="Trebuchet MS" w:hAnsi="Trebuchet MS"/>
          <w:b/>
          <w:bCs/>
          <w:color w:val="00000A"/>
          <w:sz w:val="22"/>
          <w:szCs w:val="22"/>
        </w:rPr>
        <w:t>1.</w:t>
        <w:tab/>
      </w:r>
      <w:r>
        <w:rPr>
          <w:rFonts w:cs="Trebuchet MS" w:ascii="Trebuchet MS" w:hAnsi="Trebuchet MS"/>
          <w:i/>
          <w:iCs/>
          <w:color w:val="00000A"/>
          <w:sz w:val="22"/>
          <w:szCs w:val="22"/>
        </w:rPr>
        <w:t>Atto di accordo (Comune e Iren Rinnovabili S.p.A.)</w:t>
      </w:r>
    </w:p>
    <w:p>
      <w:pPr>
        <w:pStyle w:val="Standard"/>
        <w:widowControl w:val="false"/>
        <w:ind w:left="567" w:hanging="567"/>
        <w:jc w:val="both"/>
        <w:rPr>
          <w:color w:val="00000A"/>
        </w:rPr>
      </w:pPr>
      <w:r>
        <w:rPr>
          <w:rFonts w:cs="Trebuchet MS" w:ascii="Trebuchet MS" w:hAnsi="Trebuchet MS"/>
          <w:b/>
          <w:bCs/>
          <w:color w:val="00000A"/>
          <w:sz w:val="22"/>
          <w:szCs w:val="22"/>
        </w:rPr>
        <w:tab/>
      </w:r>
      <w:r>
        <w:rPr>
          <w:rFonts w:cs="Trebuchet MS" w:ascii="Trebuchet MS" w:hAnsi="Trebuchet MS"/>
          <w:bCs/>
          <w:color w:val="00000A"/>
          <w:sz w:val="22"/>
          <w:szCs w:val="22"/>
        </w:rPr>
        <w:t xml:space="preserve">In applicazione degli artt. 3, 5 e 6 della LR 19/1998 e s.m.i. il Comune di Reggio Emilia ha stipulato con Iren Rinnovabili S.p.A. un Atto di accordo ai sensi dell’art. 11 della Legge n. 241/1990 e s.m.i. e dell’art. 18 della LR 20/2000 e s.m.i. (nel seguito indicato in breve come “Atto di accordo”); tale Atto di accordo, siglato il 16.07.2014 (n. rep. 55773) ed approvato con DCC n. 42894/174 del 15.12.2014, determina il contenuto e l’assunzione degli impegni presi in carico dai firmatari ed individuati come funzionali all’attuazione dell’intervento di riqualificazione e rigenerazione urbana degli edifici, delle aree e delle opere pubbliche e private, ubicati nel comparto </w:t>
      </w:r>
      <w:r>
        <w:rPr>
          <w:rFonts w:eastAsia="SimSun, 'Arial Unicode MS'" w:cs="Trebuchet MS" w:ascii="Trebuchet MS" w:hAnsi="Trebuchet MS"/>
          <w:color w:val="00000A"/>
          <w:sz w:val="22"/>
          <w:szCs w:val="22"/>
          <w:lang w:bidi="hi-IN"/>
        </w:rPr>
        <w:t>“PRU_IP-1a”</w:t>
      </w:r>
      <w:r>
        <w:rPr>
          <w:rFonts w:cs="Trebuchet MS" w:ascii="Trebuchet MS" w:hAnsi="Trebuchet MS"/>
          <w:bCs/>
          <w:color w:val="00000A"/>
          <w:sz w:val="22"/>
          <w:szCs w:val="22"/>
        </w:rPr>
        <w:t xml:space="preserve"> di cui all’art. 1 comma 5, compreso all’interno del sub-ambito “Area Reggiane”, </w:t>
      </w:r>
      <w:r>
        <w:rPr>
          <w:rFonts w:eastAsia="SimSun, 'Arial Unicode MS'" w:cs="Trebuchet MS" w:ascii="Trebuchet MS" w:hAnsi="Trebuchet MS"/>
          <w:color w:val="00000A"/>
          <w:sz w:val="22"/>
          <w:szCs w:val="22"/>
          <w:lang w:bidi="hi-IN"/>
        </w:rPr>
        <w:t>parte del Polo funzionale PF-4 “Stazione ferroviaria, Centro Intermodale (CIM) ed ex Officine Reggiane”</w:t>
      </w:r>
      <w:r>
        <w:rPr>
          <w:rFonts w:cs="Trebuchet MS" w:ascii="Trebuchet MS" w:hAnsi="Trebuchet MS"/>
          <w:bCs/>
          <w:color w:val="00000A"/>
          <w:sz w:val="22"/>
          <w:szCs w:val="22"/>
        </w:rPr>
        <w:t xml:space="preserve">, in conformità a quanto previsto dal Contratto di Valorizzazione Urbana (CVU) e dal Finanziamento Unico di Programmazione (DUP), nonché a quanto di volta in volta disposto dal Consiglio Comunale mediante eventuali Deliberazioni di competenza. L’Atto di accordo definisce le forme della collaborazione in partenariato pubblico privato (PPP) per l’attuazione del “Piano Nazionale per le Città” e dell’Obiettivo n. 10 del DUP, nel più vasto contesto della predisposizione, approvazione e successiva attuazione del primo stralcio del PRU denominato </w:t>
      </w:r>
      <w:r>
        <w:rPr>
          <w:rFonts w:eastAsia="SimSun, 'Arial Unicode MS'" w:cs="Trebuchet MS" w:ascii="Trebuchet MS" w:hAnsi="Trebuchet MS"/>
          <w:color w:val="00000A"/>
          <w:sz w:val="22"/>
          <w:szCs w:val="22"/>
          <w:lang w:bidi="hi-IN"/>
        </w:rPr>
        <w:t>“PRU_IP-1a”</w:t>
      </w:r>
      <w:r>
        <w:rPr>
          <w:rFonts w:cs="Trebuchet MS" w:ascii="Trebuchet MS" w:hAnsi="Trebuchet MS"/>
          <w:bCs/>
          <w:color w:val="00000A"/>
          <w:sz w:val="22"/>
          <w:szCs w:val="22"/>
        </w:rPr>
        <w:t>, fruendo del Finanziamento CVU, del Finanziamento DUP e delle risorse patrimoniali e finanziarie messe a disposizione dell’intervento dal partner privato, quale promissario acquirente e futuro proprietario degli immobili compresi nell’ambito del “</w:t>
      </w:r>
      <w:r>
        <w:rPr>
          <w:rFonts w:eastAsia="SimSun, 'Arial Unicode MS'" w:cs="Trebuchet MS" w:ascii="Trebuchet MS" w:hAnsi="Trebuchet MS"/>
          <w:color w:val="00000A"/>
          <w:sz w:val="22"/>
          <w:szCs w:val="22"/>
          <w:lang w:bidi="hi-IN"/>
        </w:rPr>
        <w:t>PRU_IP-1a”</w:t>
      </w:r>
      <w:r>
        <w:rPr>
          <w:rFonts w:cs="Trebuchet MS" w:ascii="Trebuchet MS" w:hAnsi="Trebuchet MS"/>
          <w:bCs/>
          <w:color w:val="00000A"/>
          <w:sz w:val="22"/>
          <w:szCs w:val="22"/>
        </w:rPr>
        <w:t>.</w:t>
      </w:r>
    </w:p>
    <w:p>
      <w:pPr>
        <w:pStyle w:val="Standard"/>
        <w:widowControl w:val="false"/>
        <w:ind w:left="567" w:hanging="567"/>
        <w:jc w:val="both"/>
        <w:rPr>
          <w:color w:val="00000A"/>
        </w:rPr>
      </w:pPr>
      <w:r>
        <w:rPr>
          <w:rFonts w:cs="Trebuchet MS" w:ascii="Trebuchet MS" w:hAnsi="Trebuchet MS"/>
          <w:bCs/>
          <w:color w:val="00000A"/>
          <w:sz w:val="22"/>
          <w:szCs w:val="22"/>
        </w:rPr>
        <w:tab/>
        <w:t>L’Atto di accordo attesta la natura prioritaria dell’interesse pubblico perseguito con l’attuazione dell’intervento e la valenza strategica della riqualificazione dell’Area Reggiane nell’ambito della più vasta azione di rigenerazione dell’intera Area Nord; definisce le cadenze procedimentali previste per la conduzione delle fasi inerenti l’elaborazione e l’approvazione dei progetti dell’intervento, nonché per l’approvazione degli strumenti di programmazione e pianificazione; demanda a successivi Atti di accordo integrativi (dei quali definisce le principali linee guida) le intese inerenti la fase attuativa del “</w:t>
      </w:r>
      <w:r>
        <w:rPr>
          <w:rFonts w:eastAsia="SimSun, 'Arial Unicode MS'" w:cs="Trebuchet MS" w:ascii="Trebuchet MS" w:hAnsi="Trebuchet MS"/>
          <w:color w:val="00000A"/>
          <w:sz w:val="22"/>
          <w:szCs w:val="22"/>
          <w:lang w:bidi="hi-IN"/>
        </w:rPr>
        <w:t>PRU_IP-1a”; le specifiche di tali Atti di accordo integrativi sono riportate nei successivi commi del presente articolo.</w:t>
      </w:r>
    </w:p>
    <w:p>
      <w:pPr>
        <w:pStyle w:val="Standard"/>
        <w:widowControl w:val="false"/>
        <w:ind w:left="567" w:hanging="567"/>
        <w:jc w:val="both"/>
        <w:rPr>
          <w:rFonts w:ascii="Trebuchet MS" w:hAnsi="Trebuchet MS" w:cs="Trebuchet MS"/>
          <w:bCs/>
          <w:color w:val="00000A"/>
          <w:sz w:val="22"/>
          <w:szCs w:val="22"/>
        </w:rPr>
      </w:pPr>
      <w:r>
        <w:rPr>
          <w:rFonts w:cs="Trebuchet MS" w:ascii="Trebuchet MS" w:hAnsi="Trebuchet MS"/>
          <w:bCs/>
          <w:color w:val="00000A"/>
          <w:sz w:val="22"/>
          <w:szCs w:val="22"/>
        </w:rPr>
        <w:tab/>
        <w:t>Gli interventi di riqualificazione e rigenerazione descritti nell’Atto di accordo hanno ad oggetto sia opere pubbliche che opere private di interesse pubblico ai sensi dell’art. 5 comma 4 della LR 19/1998 e s.m.i., in particolare:</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t>-</w:t>
        <w:tab/>
        <w:t>Riapertura, riqualificazione morfologica e riorganizzazione funzionale del braccio storico di viale Ramazzini;</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t>-</w:t>
        <w:tab/>
        <w:t>Riqualificazione e trasformazione di piazzale Europa nel centro fisico del Parco della Conoscenza – Innovazione – Creatività;</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t>-</w:t>
        <w:tab/>
        <w:t>Riqualificazione architettonica e funzionale del capannone 18 nell’area delle ex Officine Meccaniche Reggiane;</w:t>
      </w:r>
    </w:p>
    <w:p>
      <w:pPr>
        <w:pStyle w:val="Standard"/>
        <w:widowControl w:val="false"/>
        <w:ind w:left="850" w:hanging="283"/>
        <w:jc w:val="both"/>
        <w:rPr>
          <w:color w:val="00000A"/>
        </w:rPr>
      </w:pPr>
      <w:r>
        <w:rPr>
          <w:rFonts w:cs="Trebuchet MS" w:ascii="Trebuchet MS" w:hAnsi="Trebuchet MS"/>
          <w:color w:val="00000A"/>
          <w:sz w:val="22"/>
          <w:szCs w:val="22"/>
        </w:rPr>
        <w:t>-</w:t>
        <w:tab/>
        <w:t>Riqu</w:t>
      </w:r>
      <w:r>
        <w:rPr>
          <w:rFonts w:cs="Trebuchet MS" w:ascii="Trebuchet MS" w:hAnsi="Trebuchet MS"/>
          <w:bCs/>
          <w:color w:val="00000A"/>
          <w:sz w:val="22"/>
          <w:szCs w:val="22"/>
        </w:rPr>
        <w:t>alificazione architettonica e funzionale del capannone 17 nell’area delle ex Officine Meccaniche Reggiane.</w:t>
      </w:r>
    </w:p>
    <w:p>
      <w:pPr>
        <w:pStyle w:val="Standard"/>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567" w:hanging="567"/>
        <w:jc w:val="both"/>
        <w:rPr>
          <w:color w:val="00000A"/>
        </w:rPr>
      </w:pPr>
      <w:r>
        <w:rPr>
          <w:rFonts w:cs="Trebuchet MS" w:ascii="Trebuchet MS" w:hAnsi="Trebuchet MS"/>
          <w:b/>
          <w:bCs/>
          <w:color w:val="00000A"/>
          <w:sz w:val="22"/>
          <w:szCs w:val="22"/>
        </w:rPr>
        <w:t>2.</w:t>
        <w:tab/>
      </w:r>
      <w:r>
        <w:rPr>
          <w:rFonts w:cs="Trebuchet MS" w:ascii="Trebuchet MS" w:hAnsi="Trebuchet MS"/>
          <w:i/>
          <w:iCs/>
          <w:color w:val="00000A"/>
          <w:sz w:val="22"/>
          <w:szCs w:val="22"/>
        </w:rPr>
        <w:t>Atti di accordo integrativi (Comune e Iren Rinnovabili S.p.A.)</w:t>
      </w:r>
    </w:p>
    <w:p>
      <w:pPr>
        <w:pStyle w:val="Standard"/>
        <w:widowControl w:val="false"/>
        <w:ind w:left="567" w:hanging="567"/>
        <w:jc w:val="both"/>
        <w:rPr>
          <w:color w:val="00000A"/>
        </w:rPr>
      </w:pPr>
      <w:r>
        <w:rPr>
          <w:rFonts w:cs="Trebuchet MS" w:ascii="Trebuchet MS" w:hAnsi="Trebuchet MS"/>
          <w:b/>
          <w:bCs/>
          <w:color w:val="00000A"/>
          <w:sz w:val="22"/>
          <w:szCs w:val="22"/>
        </w:rPr>
        <w:tab/>
      </w:r>
      <w:r>
        <w:rPr>
          <w:rFonts w:cs="Trebuchet MS" w:ascii="Trebuchet MS" w:hAnsi="Trebuchet MS"/>
          <w:bCs/>
          <w:color w:val="00000A"/>
          <w:sz w:val="22"/>
          <w:szCs w:val="22"/>
        </w:rPr>
        <w:t xml:space="preserve">In applicazione degli artt. 3, 5 e 6 della LR 19/1998 e s.m.i. il Comune di Reggio Emilia, ai sensi dell’art. 11 della Legge n. 241/1990 e s.m.i. e dell’art. 18 della LR 20/2000 e s.m.i., ha quindi stipulato con Iren Rinnovabili S.p.A. una serie di successivi atti, nel seguito indicati in breve come “Atti di accordo integrativi”, che si basano sulle linee guida definite nel primo Atto di accordo (di cui al precedente comma 1) e ne approfondiscono i contenuti al fine di disciplinare la concreta realizzazione del primo stralcio attuativo del PRU, denominato </w:t>
      </w:r>
      <w:r>
        <w:rPr>
          <w:rFonts w:eastAsia="SimSun, 'Arial Unicode MS'" w:cs="Trebuchet MS" w:ascii="Trebuchet MS" w:hAnsi="Trebuchet MS"/>
          <w:color w:val="00000A"/>
          <w:sz w:val="22"/>
          <w:szCs w:val="22"/>
          <w:lang w:bidi="hi-IN"/>
        </w:rPr>
        <w:t>“PRU_IP-1a”.</w:t>
      </w:r>
    </w:p>
    <w:p>
      <w:pPr>
        <w:pStyle w:val="Standard"/>
        <w:widowControl w:val="false"/>
        <w:ind w:left="567" w:hanging="0"/>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Gli Atti di accordo integrativi ad oggi sottoscritti sono i seguenti:</w:t>
      </w:r>
    </w:p>
    <w:p>
      <w:pPr>
        <w:pStyle w:val="Standard"/>
        <w:widowControl w:val="false"/>
        <w:ind w:left="850" w:hanging="283"/>
        <w:jc w:val="both"/>
        <w:rPr>
          <w:color w:val="00000A"/>
        </w:rPr>
      </w:pPr>
      <w:r>
        <w:rPr>
          <w:rFonts w:eastAsia="SimSun, 'Arial Unicode MS'" w:cs="Trebuchet MS" w:ascii="Trebuchet MS" w:hAnsi="Trebuchet MS"/>
          <w:color w:val="00000A"/>
          <w:sz w:val="22"/>
          <w:szCs w:val="22"/>
          <w:lang w:bidi="hi-IN"/>
        </w:rPr>
        <w:t>-</w:t>
        <w:tab/>
        <w:t>P</w:t>
      </w:r>
      <w:r>
        <w:rPr>
          <w:rFonts w:cs="Trebuchet MS" w:ascii="Trebuchet MS" w:hAnsi="Trebuchet MS"/>
          <w:bCs/>
          <w:color w:val="00000A"/>
          <w:sz w:val="22"/>
          <w:szCs w:val="22"/>
        </w:rPr>
        <w:t>rimo Atto di accordo integrativo, siglato in data 16.02.2015 (n. rep. 55777) tra Comune di Reggio Emilia e Iren Rinnovabili S.p.A., a seguito dell’approvazione dello “Schema di Atto di accordo integrativo” in allegato alla DCC n. 42742/175 del 15.12.2014;</w:t>
      </w:r>
    </w:p>
    <w:p>
      <w:pPr>
        <w:pStyle w:val="Standard"/>
        <w:widowControl w:val="false"/>
        <w:ind w:left="850" w:hanging="283"/>
        <w:jc w:val="both"/>
        <w:rPr>
          <w:rFonts w:ascii="Trebuchet MS" w:hAnsi="Trebuchet MS" w:cs="Trebuchet MS"/>
          <w:bCs/>
          <w:color w:val="00000A"/>
          <w:sz w:val="22"/>
          <w:szCs w:val="22"/>
        </w:rPr>
      </w:pPr>
      <w:r>
        <w:rPr>
          <w:rFonts w:cs="Trebuchet MS" w:ascii="Trebuchet MS" w:hAnsi="Trebuchet MS"/>
          <w:bCs/>
          <w:color w:val="00000A"/>
          <w:sz w:val="22"/>
          <w:szCs w:val="22"/>
        </w:rPr>
        <w:t>-</w:t>
        <w:tab/>
        <w:t>Secondo Atto di accordo integrativo, siglato in data 01.06.2016 (n. rep. 3277 racc. 2270) tra Comune di Reggio Emilia e Iren Rinnovabili S.p.A., a seguito dell’approvazione dello “Schema del Secondo Atto di accordo integrativo” in allegato alla DCC n. 99 del 23.05.2016;</w:t>
      </w:r>
    </w:p>
    <w:p>
      <w:pPr>
        <w:pStyle w:val="Standard"/>
        <w:widowControl w:val="false"/>
        <w:ind w:left="850" w:hanging="283"/>
        <w:jc w:val="both"/>
        <w:rPr>
          <w:rFonts w:ascii="Trebuchet MS" w:hAnsi="Trebuchet MS" w:cs="Trebuchet MS"/>
          <w:bCs/>
          <w:color w:val="00000A"/>
          <w:sz w:val="22"/>
          <w:szCs w:val="22"/>
        </w:rPr>
      </w:pPr>
      <w:r>
        <w:rPr>
          <w:rFonts w:cs="Trebuchet MS" w:ascii="Trebuchet MS" w:hAnsi="Trebuchet MS"/>
          <w:bCs/>
          <w:color w:val="00000A"/>
          <w:sz w:val="22"/>
          <w:szCs w:val="22"/>
        </w:rPr>
        <w:t>-</w:t>
        <w:tab/>
        <w:t>Terzo Atto di accordo integrativo, siglato in data 20.12.2016 (n. rep. 55832) tra Comune di Reggio Emilia e Iren Rinnovabili S.p.A., a seguito dell’approvazione dello “Schema del Terzo Atto di accordo integrativo” in allegato alla DCC n. 199 del 19.12.2016;</w:t>
      </w:r>
    </w:p>
    <w:p>
      <w:pPr>
        <w:pStyle w:val="Standard"/>
        <w:widowControl w:val="false"/>
        <w:ind w:left="850" w:hanging="283"/>
        <w:jc w:val="both"/>
        <w:rPr>
          <w:rFonts w:ascii="Trebuchet MS" w:hAnsi="Trebuchet MS" w:cs="Trebuchet MS"/>
          <w:bCs/>
          <w:color w:val="00000A"/>
          <w:sz w:val="22"/>
          <w:szCs w:val="22"/>
        </w:rPr>
      </w:pPr>
      <w:r>
        <w:rPr>
          <w:rFonts w:cs="Trebuchet MS" w:ascii="Trebuchet MS" w:hAnsi="Trebuchet MS"/>
          <w:bCs/>
          <w:color w:val="00000A"/>
          <w:sz w:val="22"/>
          <w:szCs w:val="22"/>
        </w:rPr>
        <w:t>-</w:t>
        <w:tab/>
        <w:t>Quarto Atto di accordo integrativo, siglato in data 25.07.2017 (n. rep. 4849 racc. 3386) tra Comune di Reggio Emilia e Iren Rinnovabili S.p.A., a seguito dell’approvazione dello “Schema del Quarto Atto di accordo integrativo” in allegato alla DCC n. 119 del 24.07.2017.</w:t>
      </w:r>
    </w:p>
    <w:p>
      <w:pPr>
        <w:pStyle w:val="Standard"/>
        <w:widowControl w:val="false"/>
        <w:ind w:left="850" w:hanging="283"/>
        <w:jc w:val="both"/>
        <w:rPr>
          <w:rFonts w:ascii="Trebuchet MS" w:hAnsi="Trebuchet MS" w:cs="Trebuchet MS"/>
          <w:bCs/>
          <w:color w:val="00000A"/>
          <w:sz w:val="22"/>
          <w:szCs w:val="22"/>
        </w:rPr>
      </w:pPr>
      <w:r>
        <w:rPr>
          <w:rFonts w:cs="Trebuchet MS" w:ascii="Trebuchet MS" w:hAnsi="Trebuchet MS"/>
          <w:bCs/>
          <w:color w:val="00000A"/>
          <w:sz w:val="22"/>
          <w:szCs w:val="22"/>
        </w:rPr>
      </w:r>
    </w:p>
    <w:p>
      <w:pPr>
        <w:pStyle w:val="Standard"/>
        <w:widowControl w:val="false"/>
        <w:ind w:left="567" w:hanging="567"/>
        <w:jc w:val="both"/>
        <w:rPr>
          <w:color w:val="00000A"/>
        </w:rPr>
      </w:pPr>
      <w:r>
        <w:rPr>
          <w:rFonts w:cs="Trebuchet MS" w:ascii="Trebuchet MS" w:hAnsi="Trebuchet MS"/>
          <w:b/>
          <w:bCs/>
          <w:color w:val="00000A"/>
          <w:sz w:val="22"/>
          <w:szCs w:val="22"/>
        </w:rPr>
        <w:t>3.</w:t>
        <w:tab/>
      </w:r>
      <w:r>
        <w:rPr>
          <w:rFonts w:cs="Trebuchet MS" w:ascii="Trebuchet MS" w:hAnsi="Trebuchet MS"/>
          <w:i/>
          <w:iCs/>
          <w:color w:val="00000A"/>
          <w:sz w:val="22"/>
          <w:szCs w:val="22"/>
        </w:rPr>
        <w:t>Costituzione STU Reggiane S.p.A.</w:t>
      </w:r>
    </w:p>
    <w:p>
      <w:pPr>
        <w:pStyle w:val="Standard"/>
        <w:widowControl w:val="false"/>
        <w:ind w:left="567" w:hanging="567"/>
        <w:jc w:val="both"/>
        <w:rPr>
          <w:color w:val="00000A"/>
        </w:rPr>
      </w:pPr>
      <w:r>
        <w:rPr>
          <w:rFonts w:eastAsia="SimSun, 'Arial Unicode MS'" w:cs="Trebuchet MS" w:ascii="Trebuchet MS" w:hAnsi="Trebuchet MS"/>
          <w:bCs/>
          <w:color w:val="00000A"/>
          <w:sz w:val="22"/>
          <w:szCs w:val="22"/>
          <w:lang w:bidi="hi-IN"/>
        </w:rPr>
        <w:tab/>
        <w:t xml:space="preserve">Con atto notaio Baja Guarienti del 19.02.2015 (n. rep. 1596), registrato in data 20.02.2015 (n. rep. 2318) è stata costituita la società “Conoscenza, Innovazione, Creatività, Memoria. Società per la trasformazione Urbana in Reggio Emilia S.p.A.” in forma abbreviata “STU Reggiane S.p.A.”, società alla quale è demandata l’attuazione del Programma di Riqualificazione Urbana (PRU) </w:t>
      </w:r>
      <w:r>
        <w:rPr>
          <w:rFonts w:eastAsia="SimSun, 'Arial Unicode MS'" w:cs="Trebuchet MS" w:ascii="Trebuchet MS" w:hAnsi="Trebuchet MS"/>
          <w:color w:val="00000A"/>
          <w:sz w:val="22"/>
          <w:szCs w:val="22"/>
          <w:lang w:bidi="hi-IN"/>
        </w:rPr>
        <w:t>denominato “PRU_IP-1a” di cui all’art. 1 comma 5.</w:t>
      </w:r>
    </w:p>
    <w:p>
      <w:pPr>
        <w:pStyle w:val="Standard"/>
        <w:widowControl w:val="false"/>
        <w:ind w:left="567" w:hanging="0"/>
        <w:jc w:val="both"/>
        <w:rPr>
          <w:rFonts w:ascii="Trebuchet MS" w:hAnsi="Trebuchet MS" w:eastAsia="SimSun, 'Arial Unicode MS'" w:cs="Trebuchet MS"/>
          <w:bCs/>
          <w:color w:val="00000A"/>
          <w:sz w:val="22"/>
          <w:szCs w:val="22"/>
          <w:lang w:bidi="hi-IN"/>
        </w:rPr>
      </w:pPr>
      <w:r>
        <w:rPr>
          <w:rFonts w:eastAsia="SimSun, 'Arial Unicode MS'" w:cs="Trebuchet MS" w:ascii="Trebuchet MS" w:hAnsi="Trebuchet MS"/>
          <w:bCs/>
          <w:color w:val="00000A"/>
          <w:sz w:val="22"/>
          <w:szCs w:val="22"/>
          <w:lang w:bidi="hi-IN"/>
        </w:rPr>
      </w:r>
    </w:p>
    <w:p>
      <w:pPr>
        <w:pStyle w:val="Standard"/>
        <w:widowControl w:val="false"/>
        <w:ind w:left="567" w:hanging="567"/>
        <w:jc w:val="both"/>
        <w:rPr>
          <w:color w:val="00000A"/>
        </w:rPr>
      </w:pPr>
      <w:r>
        <w:rPr>
          <w:rFonts w:cs="Trebuchet MS" w:ascii="Trebuchet MS" w:hAnsi="Trebuchet MS"/>
          <w:b/>
          <w:bCs/>
          <w:color w:val="00000A"/>
          <w:sz w:val="22"/>
          <w:szCs w:val="22"/>
        </w:rPr>
        <w:t>4.</w:t>
      </w:r>
      <w:r>
        <w:rPr>
          <w:rFonts w:cs="Trebuchet MS" w:ascii="Trebuchet MS" w:hAnsi="Trebuchet MS"/>
          <w:bCs/>
          <w:color w:val="00000A"/>
          <w:sz w:val="22"/>
          <w:szCs w:val="22"/>
        </w:rPr>
        <w:tab/>
      </w:r>
      <w:r>
        <w:rPr>
          <w:rFonts w:eastAsia="SimSun, 'Arial Unicode MS'" w:cs="Trebuchet MS" w:ascii="Trebuchet MS" w:hAnsi="Trebuchet MS"/>
          <w:bCs/>
          <w:i/>
          <w:iCs/>
          <w:color w:val="00000A"/>
          <w:sz w:val="22"/>
          <w:szCs w:val="22"/>
          <w:lang w:bidi="hi-IN"/>
        </w:rPr>
        <w:t xml:space="preserve">Atto di accordo Bando Periferie </w:t>
      </w:r>
      <w:r>
        <w:rPr>
          <w:rFonts w:eastAsia="SimSun, 'Arial Unicode MS'" w:cs="Trebuchet MS" w:ascii="Trebuchet MS" w:hAnsi="Trebuchet MS"/>
          <w:i/>
          <w:iCs/>
          <w:color w:val="00000A"/>
          <w:sz w:val="22"/>
          <w:szCs w:val="22"/>
          <w:lang w:bidi="hi-IN"/>
        </w:rPr>
        <w:t>(Comune di Reggio Emilia e STU Reggiane S.p.A) e Atti di intesa Bando Periferie (Comune di Reggio Emilia e altri soggetti cofinanziatori)</w:t>
      </w:r>
    </w:p>
    <w:p>
      <w:pPr>
        <w:pStyle w:val="Standard"/>
        <w:widowControl w:val="false"/>
        <w:ind w:left="567" w:hanging="567"/>
        <w:jc w:val="both"/>
        <w:rPr>
          <w:color w:val="00000A"/>
        </w:rPr>
      </w:pPr>
      <w:r>
        <w:rPr>
          <w:rFonts w:eastAsia="SimSun, 'Arial Unicode MS'" w:cs="Trebuchet MS" w:ascii="Trebuchet MS" w:hAnsi="Trebuchet MS"/>
          <w:bCs/>
          <w:color w:val="00000A"/>
          <w:sz w:val="22"/>
          <w:szCs w:val="22"/>
          <w:lang w:bidi="hi-IN"/>
        </w:rPr>
        <w:tab/>
        <w:t xml:space="preserve">Il Comune di Reggio Emilia e il principale soggetto attuatore dell’area (STU Reggiane S.p.A.) hanno sottoscritto, in data 29.08.2016, un ulteriore Atto di accordo, finalizzato allo “Sviluppo del Programma di Rigenerazione Urbana del quartiere storico Santa Croce”, allegato D.2 al </w:t>
      </w:r>
      <w:r>
        <w:rPr>
          <w:rFonts w:eastAsia="Trebuchet MS" w:cs="Trebuchet MS" w:ascii="Trebuchet MS" w:hAnsi="Trebuchet MS"/>
          <w:color w:val="00000A"/>
          <w:sz w:val="22"/>
          <w:szCs w:val="22"/>
          <w:lang w:bidi="hi-IN"/>
        </w:rPr>
        <w:t>“Bando per la predisposizione del Programma Straordinario di intervento per la riqualificazione urbana e la sicurezza delle periferie delle Città metropolitane e dei Comuni capoluogo di Provincia”, nel seguito indicato in breve come “Bando Periferie”, approvato con il DPCM del 25.05.2016 e pubblicato sulla GURI n. 127 del 01.06.2016.</w:t>
      </w:r>
      <w:r>
        <w:rPr>
          <w:rFonts w:eastAsia="SimSun, 'Arial Unicode MS'" w:cs="Trebuchet MS" w:ascii="Trebuchet MS" w:hAnsi="Trebuchet MS"/>
          <w:bCs/>
          <w:color w:val="00000A"/>
          <w:sz w:val="22"/>
          <w:szCs w:val="22"/>
          <w:lang w:bidi="hi-IN"/>
        </w:rPr>
        <w:t xml:space="preserve"> In quest’ultimo Atto di accordo si estende anche ad altre aree del quartiere Santa Croce il possibile ambito di intervento del soggetto attuatore e si regolano gli impegni delle parti in ordine alla realizzazione degli interventi previsti nel “Bando Periferie”.</w:t>
      </w:r>
    </w:p>
    <w:p>
      <w:pPr>
        <w:pStyle w:val="Standard"/>
        <w:widowControl w:val="false"/>
        <w:ind w:left="567" w:hanging="567"/>
        <w:jc w:val="both"/>
        <w:rPr>
          <w:rFonts w:ascii="Trebuchet MS" w:hAnsi="Trebuchet MS" w:eastAsia="SimSun, 'Arial Unicode MS'" w:cs="Trebuchet MS"/>
          <w:bCs/>
          <w:color w:val="00000A"/>
          <w:sz w:val="22"/>
          <w:szCs w:val="22"/>
          <w:lang w:bidi="hi-IN"/>
        </w:rPr>
      </w:pPr>
      <w:r>
        <w:rPr>
          <w:rFonts w:eastAsia="SimSun, 'Arial Unicode MS'" w:cs="Trebuchet MS" w:ascii="Trebuchet MS" w:hAnsi="Trebuchet MS"/>
          <w:bCs/>
          <w:color w:val="00000A"/>
          <w:sz w:val="22"/>
          <w:szCs w:val="22"/>
          <w:lang w:bidi="hi-IN"/>
        </w:rPr>
        <w:tab/>
        <w:t>Il “Bando Periferie” si completa poi con una serie di atti di intesa sottoscritti con altri soggetti cofinanziatori degli interventi previsti; tali atti di intesa sono finalizzati a regolare la gestione attuativa del PRU, programmando l’allestimento delle attrezzature e degli spazi, nonché l’avvio delle attività da insediarsi.</w:t>
      </w:r>
    </w:p>
    <w:p>
      <w:pPr>
        <w:pStyle w:val="Standard"/>
        <w:widowControl w:val="false"/>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567" w:hanging="567"/>
        <w:jc w:val="both"/>
        <w:rPr>
          <w:color w:val="00000A"/>
        </w:rPr>
      </w:pPr>
      <w:r>
        <w:rPr>
          <w:rFonts w:cs="Trebuchet MS" w:ascii="Trebuchet MS" w:hAnsi="Trebuchet MS"/>
          <w:b/>
          <w:bCs/>
          <w:color w:val="00000A"/>
          <w:sz w:val="22"/>
          <w:szCs w:val="22"/>
        </w:rPr>
        <w:t>5.</w:t>
        <w:tab/>
      </w:r>
      <w:r>
        <w:rPr>
          <w:rFonts w:cs="Trebuchet MS" w:ascii="Trebuchet MS" w:hAnsi="Trebuchet MS"/>
          <w:i/>
          <w:iCs/>
          <w:color w:val="00000A"/>
          <w:sz w:val="22"/>
          <w:szCs w:val="22"/>
        </w:rPr>
        <w:t xml:space="preserve">Convenzioni a rilievo urbanistico </w:t>
      </w:r>
      <w:r>
        <w:rPr>
          <w:rFonts w:eastAsia="SimSun, 'Arial Unicode MS'" w:cs="Trebuchet MS" w:ascii="Trebuchet MS" w:hAnsi="Trebuchet MS"/>
          <w:i/>
          <w:iCs/>
          <w:color w:val="00000A"/>
          <w:sz w:val="22"/>
          <w:szCs w:val="22"/>
          <w:lang w:bidi="hi-IN"/>
        </w:rPr>
        <w:t>(Comune di Reggio Emilia e STU Reggiane S.p.A)</w:t>
      </w:r>
    </w:p>
    <w:p>
      <w:pPr>
        <w:pStyle w:val="Standard"/>
        <w:widowControl w:val="false"/>
        <w:ind w:left="567" w:hanging="567"/>
        <w:jc w:val="both"/>
        <w:rPr>
          <w:color w:val="00000A"/>
        </w:rPr>
      </w:pPr>
      <w:r>
        <w:rPr>
          <w:rFonts w:cs="Trebuchet MS" w:ascii="Trebuchet MS" w:hAnsi="Trebuchet MS"/>
          <w:b/>
          <w:bCs/>
          <w:color w:val="00000A"/>
          <w:sz w:val="22"/>
          <w:szCs w:val="22"/>
        </w:rPr>
        <w:tab/>
      </w:r>
      <w:r>
        <w:rPr>
          <w:rFonts w:cs="Trebuchet MS" w:ascii="Trebuchet MS" w:hAnsi="Trebuchet MS"/>
          <w:color w:val="00000A"/>
          <w:sz w:val="22"/>
          <w:szCs w:val="22"/>
        </w:rPr>
        <w:t>Il Co</w:t>
      </w:r>
      <w:r>
        <w:rPr>
          <w:rFonts w:cs="Trebuchet MS" w:ascii="Trebuchet MS" w:hAnsi="Trebuchet MS"/>
          <w:bCs/>
          <w:color w:val="00000A"/>
          <w:sz w:val="22"/>
          <w:szCs w:val="22"/>
        </w:rPr>
        <w:t>mune di Reggio Emilia e il soggetto attuatore STU Reggiane S.p.A. hanno ad oggi sottoscritto le seguenti convenzioni riguardanti l’attuazione dell’area “Reggiane”:</w:t>
      </w:r>
    </w:p>
    <w:p>
      <w:pPr>
        <w:pStyle w:val="Standard"/>
        <w:widowControl w:val="false"/>
        <w:ind w:left="850" w:hanging="283"/>
        <w:jc w:val="both"/>
        <w:rPr>
          <w:color w:val="00000A"/>
        </w:rPr>
      </w:pPr>
      <w:r>
        <w:rPr>
          <w:rFonts w:cs="Trebuchet MS" w:ascii="Trebuchet MS" w:hAnsi="Trebuchet MS"/>
          <w:color w:val="00000A"/>
          <w:sz w:val="22"/>
          <w:szCs w:val="22"/>
        </w:rPr>
        <w:t>-</w:t>
        <w:tab/>
        <w:t>Convenzione sottoscritta fra Comune di Reggio Emilia e STU Reggiane S.p.A. ai sensi dell’art. 120 del DLgs 267/2000 e s.m.i. e dell’art. 6 della LR 19/1998</w:t>
      </w:r>
      <w:r>
        <w:rPr>
          <w:rFonts w:cs="Trebuchet MS" w:ascii="Trebuchet MS" w:hAnsi="Trebuchet MS"/>
          <w:bCs/>
          <w:color w:val="00000A"/>
          <w:sz w:val="22"/>
          <w:szCs w:val="22"/>
        </w:rPr>
        <w:t xml:space="preserve"> e s.m.i.</w:t>
      </w:r>
      <w:r>
        <w:rPr>
          <w:rFonts w:cs="Trebuchet MS" w:ascii="Trebuchet MS" w:hAnsi="Trebuchet MS"/>
          <w:color w:val="00000A"/>
          <w:sz w:val="22"/>
          <w:szCs w:val="22"/>
        </w:rPr>
        <w:t>, siglata in data 23.02.2015 (n. rep. 1605 racc. 1127) e registrata in data 25.02.2015 al n. 2409;</w:t>
      </w:r>
    </w:p>
    <w:p>
      <w:pPr>
        <w:pStyle w:val="Standard"/>
        <w:widowControl w:val="false"/>
        <w:ind w:left="850" w:hanging="283"/>
        <w:jc w:val="both"/>
        <w:rPr>
          <w:color w:val="00000A"/>
        </w:rPr>
      </w:pPr>
      <w:r>
        <w:rPr>
          <w:rFonts w:cs="Trebuchet MS" w:ascii="Trebuchet MS" w:hAnsi="Trebuchet MS"/>
          <w:color w:val="00000A"/>
          <w:sz w:val="22"/>
          <w:szCs w:val="22"/>
        </w:rPr>
        <w:t>-</w:t>
        <w:tab/>
        <w:t>Convenzione sottoscritta fra Comune di Reggio Emilia e STU Reggiane S.p.A. ai sensi dell’art. 120 del DLgs 267/2000 e s.m.i. e dell’art. 6 della LR 19/1998</w:t>
      </w:r>
      <w:r>
        <w:rPr>
          <w:rFonts w:cs="Trebuchet MS" w:ascii="Trebuchet MS" w:hAnsi="Trebuchet MS"/>
          <w:bCs/>
          <w:color w:val="00000A"/>
          <w:sz w:val="22"/>
          <w:szCs w:val="22"/>
        </w:rPr>
        <w:t xml:space="preserve"> e s.m.i.</w:t>
      </w:r>
      <w:r>
        <w:rPr>
          <w:rFonts w:cs="Trebuchet MS" w:ascii="Trebuchet MS" w:hAnsi="Trebuchet MS"/>
          <w:color w:val="00000A"/>
          <w:sz w:val="22"/>
          <w:szCs w:val="22"/>
        </w:rPr>
        <w:t>, siglata in data 01.06.2016 (n. rep. 3278 racc. 2271);</w:t>
      </w:r>
    </w:p>
    <w:p>
      <w:pPr>
        <w:pStyle w:val="Normal"/>
        <w:widowControl w:val="false"/>
        <w:ind w:left="850" w:hanging="283"/>
        <w:jc w:val="both"/>
        <w:rPr>
          <w:color w:val="00000A"/>
        </w:rPr>
      </w:pPr>
      <w:r>
        <w:rPr>
          <w:rFonts w:cs="Trebuchet MS"/>
          <w:color w:val="00000A"/>
          <w:sz w:val="22"/>
          <w:szCs w:val="22"/>
        </w:rPr>
        <w:t>Addendum alla Convenzione sottoscritta fra Comune di Reggio Emilia e STU Reggiane in data 01 giugno 2016 (n. rep. 3278 racc. 2271), stipulato in data 25 luglio 2017 (n. rep. 4850 – racc. 3387);</w:t>
      </w:r>
    </w:p>
    <w:p>
      <w:pPr>
        <w:pStyle w:val="Standard"/>
        <w:widowControl w:val="false"/>
        <w:ind w:left="850" w:hanging="283"/>
        <w:jc w:val="both"/>
        <w:rPr>
          <w:color w:val="00000A"/>
        </w:rPr>
      </w:pPr>
      <w:r>
        <w:rPr>
          <w:rFonts w:cs="Trebuchet MS" w:ascii="Trebuchet MS" w:hAnsi="Trebuchet MS"/>
          <w:color w:val="00000A"/>
          <w:sz w:val="22"/>
          <w:szCs w:val="22"/>
        </w:rPr>
        <w:t>-</w:t>
        <w:tab/>
        <w:t>Secondo Addendum alla Convenzione sottoscritta fra Comune di Reggio Emilia e STU Reggiane in data 01 giugno 2016 (n. rep. 3278 racc. 2271), stipulato in data 08 maggio 2018 (prot. 58565).</w:t>
      </w:r>
    </w:p>
    <w:p>
      <w:pPr>
        <w:pStyle w:val="Standard"/>
        <w:widowControl w:val="false"/>
        <w:ind w:left="850" w:hanging="283"/>
        <w:jc w:val="both"/>
        <w:rPr>
          <w:color w:val="00000A"/>
        </w:rPr>
      </w:pPr>
      <w:r>
        <w:rPr>
          <w:rFonts w:cs="Trebuchet MS" w:ascii="Trebuchet MS" w:hAnsi="Trebuchet MS"/>
          <w:color w:val="00000A"/>
          <w:sz w:val="22"/>
          <w:szCs w:val="22"/>
        </w:rPr>
        <w:t>-  Terzo  Addendum alla Convenzione sottoscritta fra Comune di Reggio Emilia e STU Reggiane in data 01 giugno 2016 (n. rep. 3278 racc. 2271), stipulato in in data……./12/2018;</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283"/>
        <w:jc w:val="both"/>
        <w:rPr>
          <w:color w:val="00000A"/>
        </w:rPr>
      </w:pPr>
      <w:r>
        <w:rPr>
          <w:rFonts w:cs="Trebuchet MS" w:ascii="Trebuchet MS" w:hAnsi="Trebuchet MS"/>
          <w:color w:val="00000A"/>
          <w:sz w:val="22"/>
          <w:szCs w:val="22"/>
        </w:rPr>
        <w:t>-</w:t>
        <w:tab/>
        <w:t>Convenzione urbanistica sottoscritta fra Comune di Reggio Emilia e STU Reggiane S.p.A. per la realizzazione del primo stralcio attuativo del PRU, denominato “PRU_IP-1a”, siglata in data 14.07.2016 (n. rep. 55814);</w:t>
      </w:r>
    </w:p>
    <w:p>
      <w:pPr>
        <w:pStyle w:val="Standard"/>
        <w:widowControl w:val="false"/>
        <w:ind w:left="850" w:hanging="283"/>
        <w:jc w:val="both"/>
        <w:rPr>
          <w:color w:val="00000A"/>
        </w:rPr>
      </w:pPr>
      <w:r>
        <w:rPr>
          <w:rFonts w:cs="Trebuchet MS" w:ascii="Trebuchet MS" w:hAnsi="Trebuchet MS"/>
          <w:color w:val="00000A"/>
          <w:sz w:val="22"/>
          <w:szCs w:val="22"/>
        </w:rPr>
        <w:t>-  Addendum alla Convenzione sottoscritta in data 14.07.2016 (rep.n.55814) fra Comune di Reggio Emilia e STU Reggiane per la realizzazione del primo stralcio attuativo del PRU, denominato “PRU_IP-1a”,  e sottoscritta in data……./12/2018;</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eastAsia="SimSun, 'Arial Unicode MS'" w:cs="Trebuchet MS" w:ascii="Trebuchet MS" w:hAnsi="Trebuchet MS"/>
          <w:b/>
          <w:bCs/>
          <w:color w:val="00000A"/>
          <w:sz w:val="22"/>
          <w:szCs w:val="22"/>
          <w:lang w:bidi="hi-IN"/>
        </w:rPr>
        <w:t>6.</w:t>
        <w:tab/>
      </w:r>
      <w:r>
        <w:rPr>
          <w:rFonts w:eastAsia="SimSun, 'Arial Unicode MS'" w:cs="Trebuchet MS" w:ascii="Trebuchet MS" w:hAnsi="Trebuchet MS"/>
          <w:i/>
          <w:iCs/>
          <w:color w:val="00000A"/>
          <w:w w:val="99"/>
          <w:sz w:val="22"/>
          <w:szCs w:val="22"/>
          <w:lang w:bidi="hi-IN"/>
        </w:rPr>
        <w:t>Accordo territoriale e Accordi territoriali integrativi (Comune e Provincia di Reggio Emilia)</w:t>
      </w:r>
    </w:p>
    <w:p>
      <w:pPr>
        <w:pStyle w:val="Standard"/>
        <w:ind w:left="567" w:hanging="567"/>
        <w:jc w:val="both"/>
        <w:rPr>
          <w:color w:val="00000A"/>
        </w:rPr>
      </w:pPr>
      <w:r>
        <w:rPr>
          <w:rFonts w:eastAsia="SimSun, 'Arial Unicode MS'" w:cs="Trebuchet MS" w:ascii="Trebuchet MS" w:hAnsi="Trebuchet MS"/>
          <w:b/>
          <w:bCs/>
          <w:color w:val="00000A"/>
          <w:sz w:val="22"/>
          <w:szCs w:val="22"/>
          <w:lang w:bidi="hi-IN"/>
        </w:rPr>
        <w:tab/>
      </w:r>
      <w:r>
        <w:rPr>
          <w:rFonts w:eastAsia="SimSun, 'Arial Unicode MS'" w:cs="Trebuchet MS" w:ascii="Trebuchet MS" w:hAnsi="Trebuchet MS"/>
          <w:color w:val="00000A"/>
          <w:sz w:val="22"/>
          <w:szCs w:val="22"/>
          <w:lang w:bidi="hi-IN"/>
        </w:rPr>
        <w:t xml:space="preserve">Lo sviluppo del </w:t>
      </w:r>
      <w:r>
        <w:rPr>
          <w:rFonts w:cs="Trebuchet MS" w:ascii="Trebuchet MS" w:hAnsi="Trebuchet MS"/>
          <w:color w:val="00000A"/>
          <w:sz w:val="22"/>
          <w:szCs w:val="22"/>
        </w:rPr>
        <w:t>Polo funzionale PF-4 “Stazione ferroviaria, Centro Intermodale (CIM) ed ex Officine Reggiane”, ai sensi dell’art. 5.8 comma 5 delle Norma di Attuazione (NdA) del PSC, è definito tramite Accordi territoriali di cui all’art. 15 della LR 20/2000 e s.m.i. e gli interventi in esso programmati sono disciplinati in sede di POC, anche per fasi successive, sulla base di uno schema progettuale guida.</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tab/>
        <w:t>Gli Accordi territoriali relativi al Polo funzionale PF-4 ad oggi sottoscritti sono i seguenti:</w:t>
      </w:r>
    </w:p>
    <w:p>
      <w:pPr>
        <w:pStyle w:val="Standard"/>
        <w:widowControl w:val="false"/>
        <w:spacing w:lineRule="atLeast" w:line="200"/>
        <w:ind w:left="850" w:hanging="283"/>
        <w:jc w:val="both"/>
        <w:rPr>
          <w:color w:val="00000A"/>
        </w:rPr>
      </w:pPr>
      <w:r>
        <w:rPr>
          <w:rFonts w:cs="Trebuchet MS" w:ascii="Trebuchet MS" w:hAnsi="Trebuchet MS"/>
          <w:color w:val="00000A"/>
          <w:sz w:val="22"/>
          <w:szCs w:val="22"/>
        </w:rPr>
        <w:t>-</w:t>
        <w:tab/>
        <w:t xml:space="preserve">Accordo territoriale, parte integrante del PSC, approvato </w:t>
      </w:r>
      <w:r>
        <w:rPr>
          <w:rFonts w:eastAsia="SimSun, 'Arial Unicode MS'" w:cs="Trebuchet MS" w:ascii="Trebuchet MS" w:hAnsi="Trebuchet MS"/>
          <w:color w:val="00000A"/>
          <w:sz w:val="22"/>
          <w:szCs w:val="22"/>
          <w:lang w:bidi="hi-IN"/>
        </w:rPr>
        <w:t xml:space="preserve">da parte del Comune e della Provincia di Reggio Emilia rispettivamente con DCC </w:t>
      </w:r>
      <w:r>
        <w:rPr>
          <w:rFonts w:eastAsia="SimSun, 'Arial Unicode MS'" w:cs="Trebuchet MS" w:ascii="Trebuchet MS" w:hAnsi="Trebuchet MS"/>
          <w:bCs/>
          <w:color w:val="00000A"/>
          <w:sz w:val="22"/>
          <w:szCs w:val="22"/>
          <w:lang w:bidi="hi-IN"/>
        </w:rPr>
        <w:t xml:space="preserve">n. 5167/70 del 05.04.2011 e </w:t>
      </w:r>
      <w:r>
        <w:rPr>
          <w:rFonts w:eastAsia="SimSun, 'Arial Unicode MS'" w:cs="Trebuchet MS" w:ascii="Trebuchet MS" w:hAnsi="Trebuchet MS"/>
          <w:color w:val="00000A"/>
          <w:sz w:val="22"/>
          <w:szCs w:val="22"/>
          <w:lang w:bidi="hi-IN"/>
        </w:rPr>
        <w:t>con DGP n. 63 del 01.03.2011</w:t>
      </w:r>
      <w:r>
        <w:rPr>
          <w:rFonts w:cs="Trebuchet MS" w:ascii="Trebuchet MS" w:hAnsi="Trebuchet MS"/>
          <w:color w:val="00000A"/>
          <w:sz w:val="22"/>
          <w:szCs w:val="22"/>
        </w:rPr>
        <w:t>;</w:t>
      </w:r>
    </w:p>
    <w:p>
      <w:pPr>
        <w:pStyle w:val="Standard"/>
        <w:widowControl w:val="false"/>
        <w:spacing w:lineRule="atLeast" w:line="200"/>
        <w:ind w:left="850" w:hanging="283"/>
        <w:jc w:val="both"/>
        <w:rPr>
          <w:color w:val="00000A"/>
        </w:rPr>
      </w:pPr>
      <w:r>
        <w:rPr>
          <w:rFonts w:eastAsia="SimSun, 'Arial Unicode MS'" w:cs="Trebuchet MS" w:ascii="Trebuchet MS" w:hAnsi="Trebuchet MS"/>
          <w:color w:val="00000A"/>
          <w:sz w:val="22"/>
          <w:szCs w:val="22"/>
          <w:lang w:bidi="hi-IN"/>
        </w:rPr>
        <w:t>-</w:t>
        <w:tab/>
        <w:t xml:space="preserve">Accordo territoriale integrativo per l’attuazione del </w:t>
      </w:r>
      <w:r>
        <w:rPr>
          <w:rFonts w:eastAsia="SimSun, 'Arial Unicode MS'" w:cs="Trebuchet MS" w:ascii="Trebuchet MS" w:hAnsi="Trebuchet MS"/>
          <w:bCs/>
          <w:color w:val="00000A"/>
          <w:sz w:val="22"/>
          <w:szCs w:val="22"/>
          <w:lang w:bidi="hi-IN"/>
        </w:rPr>
        <w:t xml:space="preserve">Programma di Riqualificazione Urbana (PRU) </w:t>
      </w:r>
      <w:r>
        <w:rPr>
          <w:rFonts w:eastAsia="SimSun, 'Arial Unicode MS'" w:cs="Trebuchet MS" w:ascii="Trebuchet MS" w:hAnsi="Trebuchet MS"/>
          <w:color w:val="00000A"/>
          <w:sz w:val="22"/>
          <w:szCs w:val="22"/>
          <w:lang w:bidi="hi-IN"/>
        </w:rPr>
        <w:t>denominato “PRU_IP-1a - Ambito Centro Intermodale (CIM) e ex Officine Reggiane - Capannone 19, capannone 18, capannone 17, piazzale Europa e braccio storico di viale Ramazzini”, sottoscritto tra Comune e Provincia di Reggio Emilia e relativo al primo stralcio attuativo del sub-ambito “Area Reggiane” del Polo funzionale PF-4 (Schema di Accordo territoriale integrativo proposto dal Comune e trasmesso alla Provincia, in data 17.07.2014, unitamente agli elaborati del “PRU_IP-1a” per poi essere approvato da parte della Provincia con Decreto Presidenziale n. 104 del 10.12.2014 e da parte del Comune con Delibera di Consiglio n. 42894/174 del 15.12.2014);</w:t>
      </w:r>
    </w:p>
    <w:p>
      <w:pPr>
        <w:pStyle w:val="Standard"/>
        <w:widowControl w:val="false"/>
        <w:spacing w:lineRule="atLeast" w:line="200"/>
        <w:ind w:left="850" w:hanging="283"/>
        <w:jc w:val="both"/>
        <w:rPr>
          <w:color w:val="00000A"/>
        </w:rPr>
      </w:pPr>
      <w:r>
        <w:rPr>
          <w:rFonts w:eastAsia="SimSun, 'Arial Unicode MS'" w:cs="Trebuchet MS" w:ascii="Trebuchet MS" w:hAnsi="Trebuchet MS"/>
          <w:color w:val="00000A"/>
          <w:sz w:val="22"/>
          <w:szCs w:val="22"/>
          <w:lang w:bidi="hi-IN"/>
        </w:rPr>
        <w:t>-</w:t>
        <w:tab/>
        <w:t>Schema di Accordo territoriale integrativo relativo al sub-comparto “PRU_IP-1a.bis” del “PRU_IP - Bando Periferie Reggiane/SantaCroce” che estende ed integra il precedente Accordo territoriale integrativo per l’attuazione del “PRU_IP-1a” (Allegato 1 al PRU).</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567" w:hanging="567"/>
        <w:jc w:val="both"/>
        <w:rPr>
          <w:color w:val="00000A"/>
        </w:rPr>
      </w:pPr>
      <w:r>
        <w:rPr>
          <w:rFonts w:eastAsia="SimSun, 'Arial Unicode MS'" w:cs="Trebuchet MS" w:ascii="Trebuchet MS" w:hAnsi="Trebuchet MS"/>
          <w:b/>
          <w:bCs/>
          <w:color w:val="00000A"/>
          <w:sz w:val="22"/>
          <w:szCs w:val="22"/>
          <w:lang w:bidi="hi-IN"/>
        </w:rPr>
        <w:t>7.</w:t>
        <w:tab/>
      </w:r>
      <w:r>
        <w:rPr>
          <w:rFonts w:cs="Trebuchet MS" w:ascii="Trebuchet MS" w:hAnsi="Trebuchet MS"/>
          <w:color w:val="00000A"/>
          <w:sz w:val="22"/>
          <w:szCs w:val="22"/>
        </w:rPr>
        <w:t>L</w:t>
      </w:r>
      <w:r>
        <w:rPr>
          <w:rFonts w:eastAsia="SimSun, 'Arial Unicode MS'" w:cs="Trebuchet MS" w:ascii="Trebuchet MS" w:hAnsi="Trebuchet MS"/>
          <w:bCs/>
          <w:color w:val="00000A"/>
          <w:sz w:val="22"/>
          <w:szCs w:val="22"/>
          <w:lang w:bidi="hi-IN"/>
        </w:rPr>
        <w:t>’Atto di acc</w:t>
      </w:r>
      <w:r>
        <w:rPr>
          <w:rFonts w:eastAsia="SimSun, 'Arial Unicode MS'" w:cs="Trebuchet MS" w:ascii="Trebuchet MS" w:hAnsi="Trebuchet MS"/>
          <w:color w:val="00000A"/>
          <w:sz w:val="22"/>
          <w:szCs w:val="22"/>
          <w:lang w:bidi="hi-IN"/>
        </w:rPr>
        <w:t>ordo e gli Atti di accordo integrativi per la realizzazione del primo stralcio attuativo “PRU_IP-1</w:t>
      </w:r>
      <w:r>
        <w:rPr>
          <w:rFonts w:eastAsia="SimSun, 'Arial Unicode MS'" w:cs="Trebuchet MS" w:ascii="Trebuchet MS" w:hAnsi="Trebuchet MS"/>
          <w:bCs/>
          <w:color w:val="00000A"/>
          <w:sz w:val="22"/>
          <w:szCs w:val="22"/>
          <w:lang w:bidi="hi-IN"/>
        </w:rPr>
        <w:t>a”, nonché l’Atto costitutivo di STU Reggiane S.p.A. e l’Atto di accordo Bando Periferie (di cui ai precedenti commi 1, 2, 3 e 4 del presente articolo), le convenzioni (di cui al precedente comma 5 del presente articolo), l’Accordo territoriale e gli Accordi territoriali integrativi (di cui al precedente comma 6 del presente articolo) devono intendersi qui integralmente richiamati, come parte integrante e costitutiva della presente convenzione. Le prescrizioni e le disposizioni degli Atti di accordo, delle convenzioni e degli Accordi territoriali devono considerarsi, ad ogni effetto, prescrizioni e disposizioni della presente convenzione.</w:t>
      </w:r>
    </w:p>
    <w:p>
      <w:pPr>
        <w:pStyle w:val="Standard"/>
        <w:widowControl w:val="false"/>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tabs>
          <w:tab w:val="left" w:pos="1800"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3</w:t>
        <w:tab/>
        <w:t>-</w:t>
        <w:tab/>
        <w:t>Oggetto della convenzione</w:t>
      </w:r>
    </w:p>
    <w:p>
      <w:pPr>
        <w:pStyle w:val="Standard"/>
        <w:tabs>
          <w:tab w:val="left" w:pos="1800" w:leader="none"/>
        </w:tabs>
        <w:ind w:left="1020" w:hanging="1020"/>
        <w:jc w:val="both"/>
        <w:rPr>
          <w:rFonts w:ascii="Trebuchet MS" w:hAnsi="Trebuchet MS" w:eastAsia="Trebuchet MS" w:cs="Trebuchet MS"/>
          <w:b/>
          <w:b/>
          <w:bCs/>
          <w:color w:val="00000A"/>
          <w:sz w:val="22"/>
          <w:szCs w:val="22"/>
        </w:rPr>
      </w:pPr>
      <w:r>
        <w:rPr>
          <w:rFonts w:eastAsia="Trebuchet MS" w:cs="Trebuchet MS" w:ascii="Trebuchet MS" w:hAnsi="Trebuchet MS"/>
          <w:b/>
          <w:bCs/>
          <w:color w:val="00000A"/>
          <w:sz w:val="22"/>
          <w:szCs w:val="22"/>
        </w:rPr>
      </w:r>
    </w:p>
    <w:p>
      <w:pPr>
        <w:pStyle w:val="Textbody"/>
        <w:spacing w:lineRule="auto" w:line="240"/>
        <w:ind w:left="567" w:right="0" w:hanging="567"/>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La presente convenzione urbanistica ha per oggetto la regolamentazione della realizzazione del Programma di Riqualificazione Urbana (PRU) </w:t>
      </w:r>
      <w:r>
        <w:rPr>
          <w:rFonts w:eastAsia="Trebuchet MS" w:cs="Trebuchet MS" w:ascii="Trebuchet MS" w:hAnsi="Trebuchet MS"/>
          <w:color w:val="00000A"/>
          <w:sz w:val="22"/>
          <w:szCs w:val="22"/>
        </w:rPr>
        <w:t xml:space="preserve">denominato </w:t>
      </w:r>
      <w:r>
        <w:rPr>
          <w:rFonts w:eastAsia="Trebuchet MS" w:cs="Trebuchet MS" w:ascii="Trebuchet MS" w:hAnsi="Trebuchet MS"/>
          <w:b/>
          <w:bCs/>
          <w:color w:val="00000A"/>
          <w:sz w:val="22"/>
          <w:szCs w:val="22"/>
        </w:rPr>
        <w:t>“PRU_IP - Bando Periferie Reggiane/SantaCroce”</w:t>
      </w:r>
      <w:r>
        <w:rPr>
          <w:rFonts w:eastAsia="Trebuchet MS" w:cs="Trebuchet MS" w:ascii="Trebuchet MS" w:hAnsi="Trebuchet MS"/>
          <w:color w:val="00000A"/>
          <w:sz w:val="22"/>
          <w:szCs w:val="22"/>
        </w:rPr>
        <w:t xml:space="preserve"> che si compone, i</w:t>
      </w:r>
      <w:r>
        <w:rPr>
          <w:rFonts w:cs="Trebuchet MS" w:ascii="Trebuchet MS" w:hAnsi="Trebuchet MS"/>
          <w:color w:val="00000A"/>
          <w:sz w:val="22"/>
          <w:szCs w:val="22"/>
        </w:rPr>
        <w:t>n relazione alle caratteristiche urbanistiche delle aree che lo compongono e agli ambiti territoriali di riferimento (Polo funzionale PF-4 e Ambito di riqualificazione AR-10), di due distinti sub-comparti così individuati:</w:t>
      </w:r>
    </w:p>
    <w:p>
      <w:pPr>
        <w:pStyle w:val="Standard"/>
        <w:widowControl w:val="false"/>
        <w:spacing w:lineRule="atLeast" w:line="200"/>
        <w:ind w:left="850" w:hanging="283"/>
        <w:jc w:val="both"/>
        <w:rPr>
          <w:color w:val="00000A"/>
        </w:rPr>
      </w:pPr>
      <w:r>
        <w:rPr>
          <w:rFonts w:cs="Trebuchet MS" w:ascii="Trebuchet MS" w:hAnsi="Trebuchet MS"/>
          <w:color w:val="00000A"/>
          <w:sz w:val="22"/>
          <w:szCs w:val="22"/>
        </w:rPr>
        <w:t>-</w:t>
        <w:tab/>
        <w:t>il sub-comparto est, in seguito denominato “</w:t>
      </w:r>
      <w:r>
        <w:rPr>
          <w:rFonts w:cs="Trebuchet MS" w:ascii="Trebuchet MS" w:hAnsi="Trebuchet MS"/>
          <w:b/>
          <w:bCs/>
          <w:color w:val="00000A"/>
          <w:sz w:val="22"/>
          <w:szCs w:val="22"/>
        </w:rPr>
        <w:t>PRU_IP-1a.bis - Ambito Centro Intermodale (CIM) ed ex Officine Reggiane - Capannone 19, capannone 18, capannone 17, piazzale Europa, braccio storico di viale Ramazzini e capannone 15</w:t>
      </w:r>
      <w:r>
        <w:rPr>
          <w:rFonts w:cs="Trebuchet MS" w:ascii="Trebuchet MS" w:hAnsi="Trebuchet MS"/>
          <w:color w:val="00000A"/>
          <w:sz w:val="22"/>
          <w:szCs w:val="22"/>
        </w:rPr>
        <w:t>”, ricade all’interno del sub-ambito “Area Reggiane”, parte del Polo funzionale PF-4, e discende direttamente dall’ampliamento e dall’aggiornamento del “PRU_IP-1a” di cui all’art. 1 comma 5.</w:t>
      </w:r>
    </w:p>
    <w:p>
      <w:pPr>
        <w:pStyle w:val="Standard"/>
        <w:widowControl w:val="false"/>
        <w:spacing w:lineRule="atLeast" w:line="200"/>
        <w:ind w:left="850" w:hanging="283"/>
        <w:jc w:val="both"/>
        <w:rPr>
          <w:color w:val="00000A"/>
        </w:rPr>
      </w:pPr>
      <w:r>
        <w:rPr>
          <w:rFonts w:cs="Trebuchet MS" w:ascii="Trebuchet MS" w:hAnsi="Trebuchet MS"/>
          <w:color w:val="00000A"/>
          <w:sz w:val="22"/>
          <w:szCs w:val="22"/>
        </w:rPr>
        <w:tab/>
        <w:t>Il “PRU_IP-1a.bis”, che riguarda sia aree pubbliche che aree private la cui riqualificazione risponde ad un interesse pubblico, si estende su una superficie territoriale pari a 148.204 mq (il “PRU_IP-1a”, primo stralcio attuativo dell’area, si estendeva su una superficie territoriale pari a 102.814 mq che è stata poi rettificata, in sede di progetto esecutivo, su una superficie territoriale pari a 102.415 mq).</w:t>
      </w:r>
    </w:p>
    <w:p>
      <w:pPr>
        <w:pStyle w:val="Standard"/>
        <w:widowControl w:val="false"/>
        <w:spacing w:lineRule="atLeast" w:line="200"/>
        <w:ind w:left="850" w:hanging="283"/>
        <w:jc w:val="both"/>
        <w:rPr>
          <w:color w:val="00000A"/>
        </w:rPr>
      </w:pPr>
      <w:r>
        <w:rPr>
          <w:rFonts w:cs="Trebuchet MS" w:ascii="Trebuchet MS" w:hAnsi="Trebuchet MS"/>
          <w:color w:val="00000A"/>
          <w:sz w:val="22"/>
          <w:szCs w:val="22"/>
        </w:rPr>
        <w:t>-</w:t>
        <w:tab/>
        <w:t>il sub-comparto ovest, in seguito denominato “</w:t>
      </w:r>
      <w:r>
        <w:rPr>
          <w:rFonts w:cs="Trebuchet MS" w:ascii="Trebuchet MS" w:hAnsi="Trebuchet MS"/>
          <w:b/>
          <w:bCs/>
          <w:color w:val="00000A"/>
          <w:sz w:val="22"/>
          <w:szCs w:val="22"/>
        </w:rPr>
        <w:t>PRU_IP-1b - Ambito Santa Croce - via Gioia, via Talami, via Veneri sud e viale Ramazzini ovest</w:t>
      </w:r>
      <w:r>
        <w:rPr>
          <w:rFonts w:cs="Trebuchet MS" w:ascii="Trebuchet MS" w:hAnsi="Trebuchet MS"/>
          <w:color w:val="00000A"/>
          <w:sz w:val="22"/>
          <w:szCs w:val="22"/>
        </w:rPr>
        <w:t>”, interessa aree ricadenti all’interno dell’Ambito di riqualificazione AR-10 “Ambito Santa Croce”, a cui si aggiungono alcuni tratti di viabilità pubblica (via Talami, via Veneri sud e viale Ramazzini ovest) esterni al suddetto Ambito di riqualificazione.</w:t>
      </w:r>
    </w:p>
    <w:p>
      <w:pPr>
        <w:pStyle w:val="Standard"/>
        <w:widowControl w:val="false"/>
        <w:spacing w:lineRule="atLeast" w:line="200"/>
        <w:ind w:left="850" w:hanging="0"/>
        <w:jc w:val="both"/>
        <w:rPr>
          <w:color w:val="00000A"/>
        </w:rPr>
      </w:pPr>
      <w:r>
        <w:rPr>
          <w:rFonts w:cs="Trebuchet MS" w:ascii="Trebuchet MS" w:hAnsi="Trebuchet MS"/>
          <w:color w:val="00000A"/>
          <w:sz w:val="22"/>
          <w:szCs w:val="22"/>
        </w:rPr>
        <w:t>Il “PRU_IP-1b”, che riguarda perlopiù aree private la cui riqualificazione/riuso risponde ad un interesse pubblico, si estende su una superficie territoriale pari a 62.231 mq.</w:t>
      </w:r>
    </w:p>
    <w:p>
      <w:pPr>
        <w:pStyle w:val="Standard"/>
        <w:widowControl w:val="false"/>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pacing w:lineRule="atLeast" w:line="200"/>
        <w:ind w:left="567" w:hanging="0"/>
        <w:jc w:val="both"/>
        <w:rPr>
          <w:color w:val="00000A"/>
        </w:rPr>
      </w:pPr>
      <w:r>
        <w:rPr>
          <w:rFonts w:cs="Trebuchet MS" w:ascii="Trebuchet MS" w:hAnsi="Trebuchet MS"/>
          <w:color w:val="00000A"/>
          <w:sz w:val="22"/>
          <w:szCs w:val="22"/>
        </w:rPr>
        <w:t>L’ambito del “PRU_IP - Bando Periferie Reggiane/SantaCroce”, relativo al secondo stralcio attuativo del sub-ambito “Area Reggiane” (che estende ed integra il primo stralcio attuativo “PRU_IP-1a” richiamato all’art. 1 comma 5) si sviluppa quindi su una superficie territoriale complessiva pari a 210.435 mq che potrà essere rettificata in fase di progetto esecutivo, ai sensi dell’art. 18 delle NdA del PRU, senza che ciò comporti variante allo stesso PRU. La superficie territoriale del PRU interessa le aree censite al N.C.E.U. del Comune di Reggio Emilia elencate nelle seguenti tabelle suddivise in relazione al sub-comparto di appartenenza.</w:t>
      </w:r>
    </w:p>
    <w:p>
      <w:pPr>
        <w:pStyle w:val="Standard"/>
        <w:widowControl w:val="false"/>
        <w:spacing w:lineRule="atLeast" w:line="200"/>
        <w:ind w:left="567" w:hanging="0"/>
        <w:jc w:val="center"/>
        <w:rPr>
          <w:color w:val="00000A"/>
        </w:rPr>
      </w:pPr>
      <w:r>
        <w:rPr>
          <w:color w:val="00000A"/>
        </w:rPr>
        <w:drawing>
          <wp:anchor behindDoc="0" distT="0" distB="0" distL="114300" distR="119380" simplePos="0" locked="0" layoutInCell="1" allowOverlap="1" relativeHeight="2">
            <wp:simplePos x="0" y="0"/>
            <wp:positionH relativeFrom="column">
              <wp:posOffset>404495</wp:posOffset>
            </wp:positionH>
            <wp:positionV relativeFrom="paragraph">
              <wp:posOffset>162560</wp:posOffset>
            </wp:positionV>
            <wp:extent cx="5652770" cy="6153150"/>
            <wp:effectExtent l="0" t="0" r="0" b="0"/>
            <wp:wrapTopAndBottom/>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tretch>
                      <a:fillRect/>
                    </a:stretch>
                  </pic:blipFill>
                  <pic:spPr bwMode="auto">
                    <a:xfrm>
                      <a:off x="0" y="0"/>
                      <a:ext cx="5652770" cy="6153150"/>
                    </a:xfrm>
                    <a:prstGeom prst="rect">
                      <a:avLst/>
                    </a:prstGeom>
                  </pic:spPr>
                </pic:pic>
              </a:graphicData>
            </a:graphic>
          </wp:anchor>
        </w:drawing>
      </w:r>
    </w:p>
    <w:p>
      <w:pPr>
        <w:pStyle w:val="Standard"/>
        <w:widowControl w:val="false"/>
        <w:spacing w:lineRule="atLeast" w:line="200"/>
        <w:ind w:left="567" w:hanging="0"/>
        <w:jc w:val="center"/>
        <w:rPr>
          <w:color w:val="00000A"/>
        </w:rPr>
      </w:pPr>
      <w:r>
        <w:rPr>
          <w:color w:val="00000A"/>
        </w:rPr>
        <w:drawing>
          <wp:anchor behindDoc="0" distT="0" distB="6350" distL="114300" distR="114300" simplePos="0" locked="0" layoutInCell="1" allowOverlap="1" relativeHeight="3">
            <wp:simplePos x="0" y="0"/>
            <wp:positionH relativeFrom="column">
              <wp:posOffset>405765</wp:posOffset>
            </wp:positionH>
            <wp:positionV relativeFrom="paragraph">
              <wp:posOffset>355600</wp:posOffset>
            </wp:positionV>
            <wp:extent cx="5681345" cy="6203950"/>
            <wp:effectExtent l="0" t="0" r="0" b="0"/>
            <wp:wrapSquare wrapText="bothSides"/>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3"/>
                    <a:stretch>
                      <a:fillRect/>
                    </a:stretch>
                  </pic:blipFill>
                  <pic:spPr bwMode="auto">
                    <a:xfrm>
                      <a:off x="0" y="0"/>
                      <a:ext cx="5681345" cy="6203950"/>
                    </a:xfrm>
                    <a:prstGeom prst="rect">
                      <a:avLst/>
                    </a:prstGeom>
                  </pic:spPr>
                </pic:pic>
              </a:graphicData>
            </a:graphic>
          </wp:anchor>
        </w:drawing>
      </w:r>
    </w:p>
    <w:p>
      <w:pPr>
        <w:pStyle w:val="Standard"/>
        <w:widowControl w:val="false"/>
        <w:spacing w:lineRule="atLeast" w:line="200"/>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pacing w:lineRule="atLeast" w:line="200"/>
        <w:jc w:val="both"/>
        <w:rPr>
          <w:rFonts w:ascii="Trebuchet MS" w:hAnsi="Trebuchet MS" w:cs="Trebuchet MS"/>
          <w:color w:val="00000A"/>
          <w:sz w:val="22"/>
          <w:szCs w:val="22"/>
        </w:rPr>
      </w:pPr>
      <w:r>
        <w:rPr>
          <w:rFonts w:cs="Trebuchet MS" w:ascii="Trebuchet MS" w:hAnsi="Trebuchet MS"/>
          <w:color w:val="00000A"/>
          <w:sz w:val="22"/>
          <w:szCs w:val="22"/>
        </w:rPr>
      </w:r>
    </w:p>
    <w:p>
      <w:pPr>
        <w:pStyle w:val="Textbody"/>
        <w:spacing w:lineRule="auto" w:line="240"/>
        <w:ind w:left="567" w:right="0" w:hanging="567"/>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t>I principali riferimenti normativi che disciplinano l</w:t>
      </w:r>
      <w:r>
        <w:rPr>
          <w:rFonts w:eastAsia="SimSun, 'Arial Unicode MS'" w:cs="Trebuchet MS" w:ascii="Trebuchet MS" w:hAnsi="Trebuchet MS"/>
          <w:bCs/>
          <w:color w:val="00000A"/>
          <w:sz w:val="22"/>
          <w:szCs w:val="22"/>
          <w:lang w:bidi="hi-IN"/>
        </w:rPr>
        <w:t xml:space="preserve">a redazione del </w:t>
      </w:r>
      <w:r>
        <w:rPr>
          <w:rFonts w:eastAsia="SimSun, 'Arial Unicode MS'" w:cs="Trebuchet MS" w:ascii="Trebuchet MS" w:hAnsi="Trebuchet MS"/>
          <w:color w:val="00000A"/>
          <w:sz w:val="22"/>
          <w:szCs w:val="22"/>
          <w:lang w:bidi="hi-IN"/>
        </w:rPr>
        <w:t>“PRU_IP - Bando Periferie Reggiane/SantaCroce”</w:t>
      </w:r>
      <w:r>
        <w:rPr>
          <w:rFonts w:eastAsia="SimSun, 'Arial Unicode MS'" w:cs="Trebuchet MS" w:ascii="Trebuchet MS" w:hAnsi="Trebuchet MS"/>
          <w:bCs/>
          <w:color w:val="00000A"/>
          <w:sz w:val="22"/>
          <w:szCs w:val="22"/>
          <w:lang w:bidi="hi-IN"/>
        </w:rPr>
        <w:t xml:space="preserve"> sono:</w:t>
      </w:r>
    </w:p>
    <w:p>
      <w:pPr>
        <w:pStyle w:val="Standard"/>
        <w:widowControl w:val="false"/>
        <w:ind w:left="850" w:hanging="283"/>
        <w:jc w:val="both"/>
        <w:rPr>
          <w:rFonts w:ascii="Trebuchet MS" w:hAnsi="Trebuchet MS" w:cs="Trebuchet MS"/>
          <w:bCs/>
          <w:color w:val="00000A"/>
          <w:sz w:val="22"/>
        </w:rPr>
      </w:pPr>
      <w:r>
        <w:rPr>
          <w:rFonts w:cs="Trebuchet MS" w:ascii="Trebuchet MS" w:hAnsi="Trebuchet MS"/>
          <w:bCs/>
          <w:color w:val="00000A"/>
          <w:sz w:val="22"/>
        </w:rPr>
        <w:t>-</w:t>
        <w:tab/>
        <w:t>LR 19/1998 e s.m.i. “Norme in materia di riqualificazione urbana”;</w:t>
      </w:r>
    </w:p>
    <w:p>
      <w:pPr>
        <w:pStyle w:val="Standard"/>
        <w:widowControl w:val="false"/>
        <w:ind w:left="850" w:hanging="283"/>
        <w:jc w:val="both"/>
        <w:rPr>
          <w:rFonts w:ascii="Trebuchet MS" w:hAnsi="Trebuchet MS" w:cs="Trebuchet MS"/>
          <w:bCs/>
          <w:color w:val="00000A"/>
          <w:sz w:val="22"/>
        </w:rPr>
      </w:pPr>
      <w:r>
        <w:rPr>
          <w:rFonts w:cs="Trebuchet MS" w:ascii="Trebuchet MS" w:hAnsi="Trebuchet MS"/>
          <w:bCs/>
          <w:color w:val="00000A"/>
          <w:sz w:val="22"/>
        </w:rPr>
        <w:t>-</w:t>
        <w:tab/>
        <w:t>LR 20/2000 e s.m.i. “Disciplina generale sulla tutela e l’uso del territorio”;</w:t>
      </w:r>
    </w:p>
    <w:p>
      <w:pPr>
        <w:pStyle w:val="Standard"/>
        <w:widowControl w:val="false"/>
        <w:ind w:left="850" w:hanging="283"/>
        <w:jc w:val="both"/>
        <w:rPr>
          <w:rFonts w:ascii="Trebuchet MS" w:hAnsi="Trebuchet MS" w:cs="Trebuchet MS"/>
          <w:bCs/>
          <w:color w:val="00000A"/>
          <w:sz w:val="22"/>
        </w:rPr>
      </w:pPr>
      <w:r>
        <w:rPr>
          <w:rFonts w:cs="Trebuchet MS" w:ascii="Trebuchet MS" w:hAnsi="Trebuchet MS"/>
          <w:bCs/>
          <w:color w:val="00000A"/>
          <w:sz w:val="22"/>
        </w:rPr>
        <w:t>-</w:t>
        <w:tab/>
        <w:t>LR 31/2002 e LR 15/2013 e s.m.i. “Disciplina generale dell’edilizia” e “Semplificazione della disciplina edilizia”;</w:t>
      </w:r>
    </w:p>
    <w:p>
      <w:pPr>
        <w:pStyle w:val="Standard"/>
        <w:widowControl w:val="false"/>
        <w:ind w:left="850" w:hanging="283"/>
        <w:jc w:val="both"/>
        <w:rPr>
          <w:color w:val="00000A"/>
        </w:rPr>
      </w:pPr>
      <w:r>
        <w:rPr>
          <w:rFonts w:cs="Trebuchet MS" w:ascii="Trebuchet MS" w:hAnsi="Trebuchet MS"/>
          <w:bCs/>
          <w:color w:val="00000A"/>
          <w:sz w:val="22"/>
        </w:rPr>
        <w:t>-</w:t>
        <w:tab/>
        <w:t xml:space="preserve">NdA del PSC </w:t>
      </w:r>
      <w:r>
        <w:rPr>
          <w:rFonts w:cs="Trebuchet MS" w:ascii="Trebuchet MS" w:hAnsi="Trebuchet MS"/>
          <w:bCs/>
          <w:color w:val="00000A"/>
          <w:sz w:val="22"/>
          <w:szCs w:val="22"/>
        </w:rPr>
        <w:t>approvato con DCC n. 5167/70 del 05.04.2011 e successive varianti</w:t>
      </w:r>
      <w:r>
        <w:rPr>
          <w:rFonts w:cs="Trebuchet MS" w:ascii="Trebuchet MS" w:hAnsi="Trebuchet MS"/>
          <w:bCs/>
          <w:color w:val="00000A"/>
          <w:sz w:val="22"/>
        </w:rPr>
        <w:t>;</w:t>
      </w:r>
    </w:p>
    <w:p>
      <w:pPr>
        <w:pStyle w:val="Standard"/>
        <w:widowControl w:val="false"/>
        <w:ind w:left="850" w:hanging="283"/>
        <w:jc w:val="both"/>
        <w:rPr>
          <w:color w:val="00000A"/>
        </w:rPr>
      </w:pPr>
      <w:r>
        <w:rPr>
          <w:rFonts w:cs="Trebuchet MS" w:ascii="Trebuchet MS" w:hAnsi="Trebuchet MS"/>
          <w:bCs/>
          <w:color w:val="00000A"/>
          <w:sz w:val="22"/>
        </w:rPr>
        <w:t>-</w:t>
        <w:tab/>
        <w:t xml:space="preserve">NdA del RUE </w:t>
      </w:r>
      <w:r>
        <w:rPr>
          <w:rFonts w:cs="Trebuchet MS" w:ascii="Trebuchet MS" w:hAnsi="Trebuchet MS"/>
          <w:bCs/>
          <w:color w:val="00000A"/>
          <w:sz w:val="22"/>
          <w:szCs w:val="22"/>
        </w:rPr>
        <w:t>approvato con DCC n. 5167/70 del 05.04.2011 e successive varianti</w:t>
      </w:r>
      <w:r>
        <w:rPr>
          <w:rFonts w:cs="Trebuchet MS" w:ascii="Trebuchet MS" w:hAnsi="Trebuchet MS"/>
          <w:bCs/>
          <w:color w:val="00000A"/>
          <w:sz w:val="22"/>
        </w:rPr>
        <w:t>;</w:t>
      </w:r>
    </w:p>
    <w:p>
      <w:pPr>
        <w:pStyle w:val="Standard"/>
        <w:widowControl w:val="false"/>
        <w:ind w:left="850" w:hanging="283"/>
        <w:jc w:val="both"/>
        <w:rPr>
          <w:color w:val="00000A"/>
        </w:rPr>
      </w:pPr>
      <w:r>
        <w:rPr>
          <w:rFonts w:cs="Trebuchet MS" w:ascii="Trebuchet MS" w:hAnsi="Trebuchet MS"/>
          <w:bCs/>
          <w:color w:val="00000A"/>
          <w:sz w:val="22"/>
        </w:rPr>
        <w:t>-</w:t>
        <w:tab/>
        <w:t xml:space="preserve">NdA del POC approvato con </w:t>
      </w:r>
      <w:r>
        <w:rPr>
          <w:rFonts w:cs="Trebuchet MS" w:ascii="Trebuchet MS" w:hAnsi="Trebuchet MS"/>
          <w:bCs/>
          <w:color w:val="00000A"/>
          <w:sz w:val="22"/>
          <w:szCs w:val="22"/>
        </w:rPr>
        <w:t>DCC n. 9170/52 del 17.03.2014 e successive varianti</w:t>
      </w:r>
      <w:r>
        <w:rPr>
          <w:rFonts w:cs="Trebuchet MS" w:ascii="Trebuchet MS" w:hAnsi="Trebuchet MS"/>
          <w:bCs/>
          <w:color w:val="00000A"/>
          <w:sz w:val="22"/>
        </w:rPr>
        <w:t>;</w:t>
      </w:r>
    </w:p>
    <w:p>
      <w:pPr>
        <w:pStyle w:val="Standard"/>
        <w:widowControl w:val="false"/>
        <w:ind w:left="850" w:hanging="283"/>
        <w:jc w:val="both"/>
        <w:rPr>
          <w:color w:val="00000A"/>
        </w:rPr>
      </w:pPr>
      <w:r>
        <w:rPr>
          <w:rFonts w:cs="Trebuchet MS" w:ascii="Trebuchet MS" w:hAnsi="Trebuchet MS"/>
          <w:bCs/>
          <w:color w:val="00000A"/>
          <w:sz w:val="22"/>
        </w:rPr>
        <w:t>-</w:t>
        <w:tab/>
        <w:t xml:space="preserve">Accordo Territoriale, di cui all’art. 2 comma 6, </w:t>
      </w:r>
      <w:r>
        <w:rPr>
          <w:rFonts w:cs="Trebuchet MS" w:ascii="Trebuchet MS" w:hAnsi="Trebuchet MS"/>
          <w:bCs/>
          <w:color w:val="00000A"/>
          <w:sz w:val="22"/>
          <w:szCs w:val="22"/>
        </w:rPr>
        <w:t>parte integrante del PSC approvato, sottoscritto tra Comune e Provincia di Reggio Emilia rispettivamente con DCC n. 5167/70 del 05.04.2011 e con DGP n. 63 del 01.03.2011;</w:t>
      </w:r>
    </w:p>
    <w:p>
      <w:pPr>
        <w:pStyle w:val="Standard"/>
        <w:widowControl w:val="false"/>
        <w:ind w:left="850" w:hanging="283"/>
        <w:jc w:val="both"/>
        <w:rPr>
          <w:color w:val="00000A"/>
        </w:rPr>
      </w:pPr>
      <w:r>
        <w:rPr>
          <w:rFonts w:cs="Trebuchet MS" w:ascii="Trebuchet MS" w:hAnsi="Trebuchet MS"/>
          <w:color w:val="00000A"/>
          <w:sz w:val="22"/>
          <w:szCs w:val="22"/>
        </w:rPr>
        <w:t>-</w:t>
        <w:tab/>
        <w:t>Accordo territoriale integrativo per l’attuazione del “PRU_IP-1a”</w:t>
      </w:r>
      <w:r>
        <w:rPr>
          <w:rFonts w:cs="Trebuchet MS" w:ascii="Trebuchet MS" w:hAnsi="Trebuchet MS"/>
          <w:bCs/>
          <w:color w:val="00000A"/>
          <w:sz w:val="22"/>
          <w:szCs w:val="22"/>
        </w:rPr>
        <w:t>, di cui all’art. 2 comma 6,</w:t>
      </w:r>
      <w:r>
        <w:rPr>
          <w:rFonts w:cs="Trebuchet MS" w:ascii="Trebuchet MS" w:hAnsi="Trebuchet MS"/>
          <w:color w:val="00000A"/>
          <w:sz w:val="22"/>
          <w:szCs w:val="22"/>
        </w:rPr>
        <w:t xml:space="preserve"> sottoscritto tra Comune e Provincia di Reggio Emilia;</w:t>
      </w:r>
    </w:p>
    <w:p>
      <w:pPr>
        <w:pStyle w:val="Standard"/>
        <w:widowControl w:val="false"/>
        <w:ind w:left="850" w:hanging="283"/>
        <w:jc w:val="both"/>
        <w:rPr>
          <w:color w:val="00000A"/>
        </w:rPr>
      </w:pPr>
      <w:r>
        <w:rPr>
          <w:rFonts w:cs="Trebuchet MS" w:ascii="Trebuchet MS" w:hAnsi="Trebuchet MS"/>
          <w:color w:val="00000A"/>
          <w:sz w:val="22"/>
          <w:szCs w:val="22"/>
        </w:rPr>
        <w:t>-</w:t>
        <w:tab/>
        <w:t>Schema di Accordo territoriale integrativo per l’attuazione del sub-comparto “PRU_IP-1a.bis”, che estende ed integra l’Accordo territoriale integrativo per l’attuazione del “PRU_IP-1a”</w:t>
      </w:r>
      <w:r>
        <w:rPr>
          <w:rFonts w:cs="Trebuchet MS" w:ascii="Trebuchet MS" w:hAnsi="Trebuchet MS"/>
          <w:bCs/>
          <w:color w:val="00000A"/>
          <w:sz w:val="22"/>
          <w:szCs w:val="22"/>
        </w:rPr>
        <w:t>, di cui all’art. 2 comma 6,</w:t>
      </w:r>
      <w:r>
        <w:rPr>
          <w:rFonts w:cs="Trebuchet MS" w:ascii="Trebuchet MS" w:hAnsi="Trebuchet MS"/>
          <w:color w:val="00000A"/>
          <w:sz w:val="22"/>
          <w:szCs w:val="22"/>
        </w:rPr>
        <w:t xml:space="preserve"> sottoscritto tra Comune e Provincia di Reggio Emilia, (Allegato 1 al PRU);</w:t>
      </w:r>
    </w:p>
    <w:p>
      <w:pPr>
        <w:pStyle w:val="Standard"/>
        <w:widowControl w:val="false"/>
        <w:ind w:left="850" w:hanging="283"/>
        <w:jc w:val="both"/>
        <w:rPr>
          <w:color w:val="00000A"/>
        </w:rPr>
      </w:pPr>
      <w:r>
        <w:rPr>
          <w:rFonts w:cs="Trebuchet MS" w:ascii="Trebuchet MS" w:hAnsi="Trebuchet MS"/>
          <w:bCs/>
          <w:color w:val="00000A"/>
          <w:sz w:val="22"/>
        </w:rPr>
        <w:t>-</w:t>
        <w:tab/>
      </w:r>
      <w:r>
        <w:rPr>
          <w:rFonts w:cs="Trebuchet MS" w:ascii="Trebuchet MS" w:hAnsi="Trebuchet MS"/>
          <w:bCs/>
          <w:color w:val="00000A"/>
          <w:sz w:val="22"/>
          <w:szCs w:val="22"/>
        </w:rPr>
        <w:t>Atto di acc</w:t>
      </w:r>
      <w:r>
        <w:rPr>
          <w:rFonts w:cs="Trebuchet MS" w:ascii="Trebuchet MS" w:hAnsi="Trebuchet MS"/>
          <w:color w:val="00000A"/>
          <w:sz w:val="22"/>
          <w:szCs w:val="22"/>
        </w:rPr>
        <w:t>or</w:t>
      </w:r>
      <w:r>
        <w:rPr>
          <w:rFonts w:eastAsia="SimSun, 'Arial Unicode MS'" w:cs="Trebuchet MS" w:ascii="Trebuchet MS" w:hAnsi="Trebuchet MS"/>
          <w:color w:val="00000A"/>
          <w:sz w:val="22"/>
          <w:szCs w:val="22"/>
          <w:lang w:bidi="hi-IN"/>
        </w:rPr>
        <w:t>do per la realizzazione del primo stralcio attuativo “PRU_IP-1</w:t>
      </w:r>
      <w:r>
        <w:rPr>
          <w:rFonts w:eastAsia="SimSun, 'Arial Unicode MS'" w:cs="Trebuchet MS" w:ascii="Trebuchet MS" w:hAnsi="Trebuchet MS"/>
          <w:bCs/>
          <w:color w:val="00000A"/>
          <w:sz w:val="22"/>
          <w:szCs w:val="22"/>
          <w:lang w:bidi="hi-IN"/>
        </w:rPr>
        <w:t xml:space="preserve">a”, </w:t>
      </w:r>
      <w:r>
        <w:rPr>
          <w:rFonts w:cs="Trebuchet MS" w:ascii="Trebuchet MS" w:hAnsi="Trebuchet MS"/>
          <w:bCs/>
          <w:color w:val="00000A"/>
          <w:sz w:val="22"/>
        </w:rPr>
        <w:t>di cui all’art. 2 comma 1, relativo alle intese di partenariato pubblico privato e stipulato tra Comune di Reggio Emilia e Iren Rinnovabili S.p.A. ai sensi degli artt. 3, 5 e 6 della LR 19/1998 e s.m.i., dell’art. 11 della Legge n. 241/1990 e s.m.i., dell’art. 18 della LR 20/2000 e s.m.i. e approvato con DCC n. 42894/174 del 15.12.2014;</w:t>
      </w:r>
    </w:p>
    <w:p>
      <w:pPr>
        <w:pStyle w:val="Standard"/>
        <w:widowControl w:val="false"/>
        <w:ind w:left="850" w:hanging="283"/>
        <w:jc w:val="both"/>
        <w:rPr>
          <w:color w:val="00000A"/>
        </w:rPr>
      </w:pPr>
      <w:r>
        <w:rPr>
          <w:rFonts w:cs="Trebuchet MS" w:ascii="Trebuchet MS" w:hAnsi="Trebuchet MS"/>
          <w:bCs/>
          <w:color w:val="00000A"/>
          <w:sz w:val="22"/>
        </w:rPr>
        <w:t>-</w:t>
        <w:tab/>
        <w:t xml:space="preserve">Atti di accordo integrativi, relativi alle modalità di realizzazione </w:t>
      </w:r>
      <w:r>
        <w:rPr>
          <w:rFonts w:eastAsia="SimSun, 'Arial Unicode MS'" w:cs="Trebuchet MS" w:ascii="Trebuchet MS" w:hAnsi="Trebuchet MS"/>
          <w:color w:val="00000A"/>
          <w:sz w:val="22"/>
          <w:szCs w:val="22"/>
          <w:lang w:bidi="hi-IN"/>
        </w:rPr>
        <w:t>del primo stralcio attuativo “PRU_IP-1</w:t>
      </w:r>
      <w:r>
        <w:rPr>
          <w:rFonts w:eastAsia="SimSun, 'Arial Unicode MS'" w:cs="Trebuchet MS" w:ascii="Trebuchet MS" w:hAnsi="Trebuchet MS"/>
          <w:bCs/>
          <w:color w:val="00000A"/>
          <w:sz w:val="22"/>
          <w:szCs w:val="22"/>
          <w:lang w:bidi="hi-IN"/>
        </w:rPr>
        <w:t xml:space="preserve">a”, di cui all’art. 2 comma 2, e </w:t>
      </w:r>
      <w:r>
        <w:rPr>
          <w:rFonts w:cs="Trebuchet MS" w:ascii="Trebuchet MS" w:hAnsi="Trebuchet MS"/>
          <w:bCs/>
          <w:color w:val="00000A"/>
          <w:sz w:val="22"/>
        </w:rPr>
        <w:t xml:space="preserve">siglati tra Comune di Reggio Emilia e Iren Rinnovabili S.p.A. in coerenza con le linee guida dettate dal precedente Atto di accordo, ai sensi degli artt. 3, 5 e 6 della LR 19/1998 e s.m.i. e dell’art. 11 della Legge n. 241/1990 e s.m.i. (Primo </w:t>
      </w:r>
      <w:r>
        <w:rPr>
          <w:rFonts w:cs="Trebuchet MS" w:ascii="Trebuchet MS" w:hAnsi="Trebuchet MS"/>
          <w:bCs/>
          <w:color w:val="00000A"/>
          <w:sz w:val="22"/>
          <w:szCs w:val="22"/>
        </w:rPr>
        <w:t>Atto di accordo integrativo n. rep. 55777 del 16.02.2015, Secondo Atto di accordo integrativo n. rep. 3277 racc. 2270 del 01.06.2016, Terzo Atto di accordo integrativo n. rep. 55832 del 20.12.2016, Quarto Atto di accordo integrativo n. rep. 4849 racc. 3386 del 25.07.2017);</w:t>
      </w:r>
    </w:p>
    <w:p>
      <w:pPr>
        <w:pStyle w:val="Standard"/>
        <w:widowControl w:val="false"/>
        <w:ind w:left="850" w:hanging="283"/>
        <w:jc w:val="both"/>
        <w:rPr>
          <w:color w:val="00000A"/>
        </w:rPr>
      </w:pPr>
      <w:r>
        <w:rPr>
          <w:rFonts w:cs="Trebuchet MS" w:ascii="Trebuchet MS" w:hAnsi="Trebuchet MS"/>
          <w:color w:val="00000A"/>
          <w:sz w:val="22"/>
          <w:szCs w:val="22"/>
        </w:rPr>
        <w:t>-</w:t>
        <w:tab/>
        <w:t xml:space="preserve">Atto di costituzione della società </w:t>
      </w:r>
      <w:r>
        <w:rPr>
          <w:rFonts w:eastAsia="SimSun, 'Arial Unicode MS'" w:cs="Trebuchet MS" w:ascii="Trebuchet MS" w:hAnsi="Trebuchet MS"/>
          <w:color w:val="00000A"/>
          <w:sz w:val="22"/>
          <w:szCs w:val="22"/>
          <w:lang w:bidi="hi-IN"/>
        </w:rPr>
        <w:t>“Conoscenza, Innovazione, Creatività, Memoria. Società per la trasformazione Urbana in Reggio Emilia S.p.A.” in forma abbreviata “STU Reggiane S.p.A.”, società alla quale è demandata l’attuazione del Programma di Riqualificazione Urbana (PRU) denominato “PRU_IP-1a” di cui all’art. 2 comma 3.</w:t>
      </w:r>
    </w:p>
    <w:p>
      <w:pPr>
        <w:pStyle w:val="Standard"/>
        <w:widowControl w:val="false"/>
        <w:ind w:left="850" w:hanging="283"/>
        <w:jc w:val="both"/>
        <w:rPr>
          <w:color w:val="00000A"/>
        </w:rPr>
      </w:pPr>
      <w:r>
        <w:rPr>
          <w:rFonts w:cs="Trebuchet MS" w:ascii="Trebuchet MS" w:hAnsi="Trebuchet MS"/>
          <w:color w:val="00000A"/>
          <w:sz w:val="22"/>
          <w:szCs w:val="22"/>
        </w:rPr>
        <w:t>-</w:t>
        <w:tab/>
      </w:r>
      <w:r>
        <w:rPr>
          <w:rFonts w:cs="Trebuchet MS" w:ascii="Trebuchet MS" w:hAnsi="Trebuchet MS"/>
          <w:bCs/>
          <w:color w:val="00000A"/>
          <w:sz w:val="22"/>
          <w:szCs w:val="22"/>
        </w:rPr>
        <w:t xml:space="preserve">Atto di accordo Bando Periferie relativo </w:t>
      </w:r>
      <w:r>
        <w:rPr>
          <w:rFonts w:eastAsia="SimSun, 'Arial Unicode MS'" w:cs="Trebuchet MS" w:ascii="Trebuchet MS" w:hAnsi="Trebuchet MS"/>
          <w:bCs/>
          <w:color w:val="00000A"/>
          <w:sz w:val="22"/>
          <w:szCs w:val="22"/>
          <w:lang w:bidi="hi-IN"/>
        </w:rPr>
        <w:t xml:space="preserve">allo sviluppo del Programma di Rigenerazione Urbana del quartiere storico Santa Croce, di cui all’art. 2 comma 4, e </w:t>
      </w:r>
      <w:r>
        <w:rPr>
          <w:rFonts w:cs="Trebuchet MS" w:ascii="Trebuchet MS" w:hAnsi="Trebuchet MS"/>
          <w:bCs/>
          <w:color w:val="00000A"/>
          <w:sz w:val="22"/>
          <w:szCs w:val="22"/>
        </w:rPr>
        <w:t>siglato tra Comune di Reggio Emilia e soggetto attuatore STU Reggiane S.p.A. il 29.08.2016;</w:t>
      </w:r>
    </w:p>
    <w:p>
      <w:pPr>
        <w:pStyle w:val="Standard"/>
        <w:widowControl w:val="false"/>
        <w:ind w:left="850" w:hanging="283"/>
        <w:jc w:val="both"/>
        <w:rPr>
          <w:color w:val="00000A"/>
        </w:rPr>
      </w:pPr>
      <w:r>
        <w:rPr>
          <w:rFonts w:cs="Trebuchet MS" w:ascii="Trebuchet MS" w:hAnsi="Trebuchet MS"/>
          <w:bCs/>
          <w:color w:val="00000A"/>
          <w:sz w:val="22"/>
          <w:szCs w:val="22"/>
        </w:rPr>
        <w:t>-</w:t>
        <w:tab/>
      </w:r>
      <w:r>
        <w:rPr>
          <w:rFonts w:cs="Trebuchet MS" w:ascii="Trebuchet MS" w:hAnsi="Trebuchet MS"/>
          <w:color w:val="00000A"/>
          <w:sz w:val="22"/>
          <w:szCs w:val="22"/>
        </w:rPr>
        <w:t>Atti di intesa Bando Periferie siglati tra Comune di Reggio Emilia e soggetti cofinanziatori, di cui all’art. 2 comma 4, finalizzati all’allestimento e alla gestione delle attività da insediarsi a seguito degli interventi programmati nel “Bando Periferie” di cui al DPCM del 25.05.2016.</w:t>
      </w:r>
    </w:p>
    <w:p>
      <w:pPr>
        <w:pStyle w:val="Standard"/>
        <w:widowControl w:val="false"/>
        <w:ind w:left="850" w:hanging="283"/>
        <w:jc w:val="both"/>
        <w:rPr>
          <w:color w:val="00000A"/>
        </w:rPr>
      </w:pPr>
      <w:r>
        <w:rPr>
          <w:rFonts w:cs="Trebuchet MS" w:ascii="Trebuchet MS" w:hAnsi="Trebuchet MS"/>
          <w:bCs/>
          <w:color w:val="00000A"/>
          <w:sz w:val="22"/>
          <w:szCs w:val="22"/>
        </w:rPr>
        <w:t>-</w:t>
        <w:tab/>
        <w:t xml:space="preserve">Convenzioni urbanistiche per l’attuazione del </w:t>
      </w:r>
      <w:r>
        <w:rPr>
          <w:rFonts w:eastAsia="SimSun, 'Arial Unicode MS'" w:cs="Trebuchet MS" w:ascii="Trebuchet MS" w:hAnsi="Trebuchet MS"/>
          <w:color w:val="00000A"/>
          <w:sz w:val="22"/>
          <w:szCs w:val="22"/>
          <w:lang w:bidi="hi-IN"/>
        </w:rPr>
        <w:t>primo stralcio attuativo “PRU_IP-1</w:t>
      </w:r>
      <w:r>
        <w:rPr>
          <w:rFonts w:eastAsia="SimSun, 'Arial Unicode MS'" w:cs="Trebuchet MS" w:ascii="Trebuchet MS" w:hAnsi="Trebuchet MS"/>
          <w:bCs/>
          <w:color w:val="00000A"/>
          <w:sz w:val="22"/>
          <w:szCs w:val="22"/>
          <w:lang w:bidi="hi-IN"/>
        </w:rPr>
        <w:t>a”, sottoscritte tra Comune di Reggio Emilia e soggetto attuatore STU Reggiane S.p.A., di cui all’art. 2 comma 5;</w:t>
      </w:r>
    </w:p>
    <w:p>
      <w:pPr>
        <w:pStyle w:val="Standard"/>
        <w:widowControl w:val="false"/>
        <w:ind w:left="850" w:hanging="283"/>
        <w:jc w:val="both"/>
        <w:rPr>
          <w:color w:val="00000A"/>
        </w:rPr>
      </w:pPr>
      <w:r>
        <w:rPr>
          <w:rFonts w:cs="Trebuchet MS" w:ascii="Trebuchet MS" w:hAnsi="Trebuchet MS"/>
          <w:bCs/>
          <w:color w:val="00000A"/>
          <w:sz w:val="22"/>
        </w:rPr>
        <w:t>-</w:t>
        <w:tab/>
        <w:t xml:space="preserve">Elaborati relativi alla partecipazione del Comune di Reggio Emilia al </w:t>
      </w:r>
      <w:r>
        <w:rPr>
          <w:rFonts w:eastAsia="Trebuchet MS" w:cs="Trebuchet MS" w:ascii="Trebuchet MS" w:hAnsi="Trebuchet MS"/>
          <w:color w:val="00000A"/>
          <w:sz w:val="22"/>
          <w:szCs w:val="22"/>
        </w:rPr>
        <w:t>“Bando per la predisposizione del Programma Straordinario di intervento per la riqualificazione urbana e la sicurezza delle periferie delle Città metropolitane e dei Comuni capoluogo di Provincia” -Legge n. 208/2015- e atti di programmazione, pianificazione e ammissione a tale finanziamento.</w:t>
      </w:r>
    </w:p>
    <w:p>
      <w:pPr>
        <w:pStyle w:val="Standard"/>
        <w:widowControl w:val="false"/>
        <w:ind w:left="850" w:hanging="283"/>
        <w:jc w:val="both"/>
        <w:rPr>
          <w:color w:val="00000A"/>
        </w:rPr>
      </w:pPr>
      <w:r>
        <w:rPr>
          <w:rFonts w:eastAsia="Trebuchet MS" w:cs="Trebuchet MS" w:ascii="Trebuchet MS" w:hAnsi="Trebuchet MS"/>
          <w:color w:val="00000A"/>
          <w:sz w:val="22"/>
          <w:szCs w:val="22"/>
        </w:rPr>
        <w:tab/>
      </w:r>
      <w:r>
        <w:rPr>
          <w:rFonts w:cs="Trebuchet MS" w:ascii="Trebuchet MS" w:hAnsi="Trebuchet MS"/>
          <w:color w:val="00000A"/>
          <w:sz w:val="22"/>
          <w:szCs w:val="22"/>
        </w:rPr>
        <w:t>Si dà atto che, successivamente alla adozione del “PRU_IP-Bando Periferie Reggiane/Santa Croce” è entrata in vigore, dal 01 gennaio 2018, la legge regionale 21 dicembre 2017 n. 24 “</w:t>
      </w:r>
      <w:r>
        <w:rPr>
          <w:rFonts w:cs="Trebuchet MS" w:ascii="Trebuchet MS" w:hAnsi="Trebuchet MS"/>
          <w:i/>
          <w:color w:val="00000A"/>
          <w:sz w:val="22"/>
          <w:szCs w:val="22"/>
        </w:rPr>
        <w:t>Disciplina regionale sulla tutela e l’uso del territorio</w:t>
      </w:r>
      <w:r>
        <w:rPr>
          <w:rFonts w:cs="Trebuchet MS" w:ascii="Trebuchet MS" w:hAnsi="Trebuchet MS"/>
          <w:color w:val="00000A"/>
          <w:sz w:val="22"/>
          <w:szCs w:val="22"/>
        </w:rPr>
        <w:t>” che: (i) ha abrogato la legge regionale 20/2000 e la legge regionale 19/1998; (ii) all’articolo 79 comma 3 ha previsto che “</w:t>
      </w:r>
      <w:r>
        <w:rPr>
          <w:rFonts w:cs="Trebuchet MS" w:ascii="Trebuchet MS" w:hAnsi="Trebuchet MS"/>
          <w:i/>
          <w:color w:val="00000A"/>
          <w:sz w:val="22"/>
          <w:szCs w:val="22"/>
        </w:rPr>
        <w:t>i programmi di riqualificazione urbana in corso alla data di entrata in vigore della presente legge sono ultimati secondo quanto previsto dalla legge regionale n. 19 del 1998</w:t>
      </w:r>
      <w:r>
        <w:rPr>
          <w:rFonts w:cs="Trebuchet MS" w:ascii="Trebuchet MS" w:hAnsi="Trebuchet MS"/>
          <w:color w:val="00000A"/>
          <w:sz w:val="22"/>
          <w:szCs w:val="22"/>
        </w:rPr>
        <w:t>”; (iii) sino al 31 dicembre 2020, ai sensi dell’articolo 4 comma 4 e delle norme da questo richiamate, “</w:t>
      </w:r>
      <w:r>
        <w:rPr>
          <w:rFonts w:cs="Trebuchet MS" w:ascii="Trebuchet MS" w:hAnsi="Trebuchet MS"/>
          <w:i/>
          <w:color w:val="00000A"/>
          <w:sz w:val="22"/>
          <w:szCs w:val="22"/>
        </w:rPr>
        <w:t>possono essere adottati i seguenti atti e  può essere completato il procedimento di approvazione degli stessi avviato prima della data di entrata in vigore della presente legge … d) i Programmi di riqualificazione urbana (PRU), di cui alla legge regionale 3 luglio 1998, n. 19 (Norme in materia di riqualificazione urbana)</w:t>
      </w:r>
      <w:r>
        <w:rPr>
          <w:rFonts w:cs="Trebuchet MS" w:ascii="Trebuchet MS" w:hAnsi="Trebuchet MS"/>
          <w:color w:val="00000A"/>
          <w:sz w:val="22"/>
          <w:szCs w:val="22"/>
        </w:rPr>
        <w:t xml:space="preserve">”.    </w:t>
      </w:r>
    </w:p>
    <w:p>
      <w:pPr>
        <w:pStyle w:val="Standard"/>
        <w:widowControl w:val="false"/>
        <w:spacing w:lineRule="atLeast" w:line="200"/>
        <w:ind w:left="567" w:hanging="567"/>
        <w:jc w:val="both"/>
        <w:rPr>
          <w:rFonts w:ascii="Trebuchet MS" w:hAnsi="Trebuchet MS" w:cs="Trebuchet MS"/>
          <w:color w:val="00000A"/>
        </w:rPr>
      </w:pPr>
      <w:r>
        <w:rPr>
          <w:rFonts w:cs="Trebuchet MS" w:ascii="Trebuchet MS" w:hAnsi="Trebuchet MS"/>
          <w:color w:val="00000A"/>
        </w:rPr>
      </w:r>
    </w:p>
    <w:p>
      <w:pPr>
        <w:pStyle w:val="Standard"/>
        <w:widowControl w:val="false"/>
        <w:spacing w:lineRule="atLeast" w:line="200"/>
        <w:ind w:left="567" w:hanging="567"/>
        <w:jc w:val="both"/>
        <w:rPr>
          <w:color w:val="00000A"/>
        </w:rPr>
      </w:pPr>
      <w:r>
        <w:rPr>
          <w:rFonts w:cs="Trebuchet MS" w:ascii="Trebuchet MS" w:hAnsi="Trebuchet MS"/>
          <w:b/>
          <w:color w:val="00000A"/>
          <w:sz w:val="22"/>
          <w:szCs w:val="22"/>
        </w:rPr>
        <w:t>3.</w:t>
        <w:tab/>
      </w:r>
      <w:r>
        <w:rPr>
          <w:rFonts w:cs="Trebuchet MS" w:ascii="Trebuchet MS" w:hAnsi="Trebuchet MS"/>
          <w:color w:val="00000A"/>
          <w:sz w:val="22"/>
          <w:szCs w:val="22"/>
        </w:rPr>
        <w:t>Il Piano Operativo Comunale (POC) approvato con DCC n. 9170/52 del 17.03.2014 individua, nella tavola PO.1.2 “DPQU - Programmi di Riqualificazione Urbana”, il “PRU_IP-1 - Santa Croce - Area Reggiane” che ricomprende al proprio interno sia il sub-ambito “Area Reggiane” del polo funzionale PF-4 “Stazione ferroviaria, Centro Intermodale (CIM) ed ex Officine Reggiane” che l’Ambito di riqualificazione AR-10 “Ambito Santa Croce”.</w:t>
      </w:r>
    </w:p>
    <w:p>
      <w:pPr>
        <w:pStyle w:val="Standard"/>
        <w:widowControl w:val="false"/>
        <w:ind w:left="567" w:hanging="0"/>
        <w:jc w:val="both"/>
        <w:rPr>
          <w:color w:val="00000A"/>
        </w:rPr>
      </w:pPr>
      <w:r>
        <w:rPr>
          <w:rFonts w:eastAsia="Trebuchet MS" w:cs="Trebuchet MS" w:ascii="Trebuchet MS" w:hAnsi="Trebuchet MS"/>
          <w:color w:val="00000A"/>
          <w:sz w:val="22"/>
          <w:szCs w:val="22"/>
        </w:rPr>
        <w:t>Il “PRU_IP - Bando Periferie Reggiane/SantaCroce”, ai sensi dell’art. 22 comma 1 lettera b) della LR 20/2000 e s.m.i., prevede modifiche e integrazioni al POC vigente sia in riferimento al sub-comparto “PRU_IP-1a.bis” che al sub-comparto “PRU_IP-1b”.</w:t>
      </w:r>
    </w:p>
    <w:p>
      <w:pPr>
        <w:pStyle w:val="Standard"/>
        <w:widowControl w:val="false"/>
        <w:ind w:left="850" w:hanging="283"/>
        <w:jc w:val="both"/>
        <w:rPr>
          <w:rFonts w:ascii="Trebuchet MS" w:hAnsi="Trebuchet MS" w:cs="Trebuchet MS"/>
          <w:color w:val="00000A"/>
        </w:rPr>
      </w:pPr>
      <w:r>
        <w:rPr>
          <w:rFonts w:cs="Trebuchet MS" w:ascii="Trebuchet MS" w:hAnsi="Trebuchet MS"/>
          <w:color w:val="00000A"/>
        </w:rPr>
      </w:r>
    </w:p>
    <w:p>
      <w:pPr>
        <w:pStyle w:val="Standard"/>
        <w:widowControl w:val="false"/>
        <w:ind w:left="567" w:hanging="567"/>
        <w:jc w:val="both"/>
        <w:rPr>
          <w:color w:val="00000A"/>
        </w:rPr>
      </w:pPr>
      <w:r>
        <w:rPr>
          <w:rFonts w:eastAsia="Trebuchet MS" w:cs="Trebuchet MS" w:ascii="Trebuchet MS" w:hAnsi="Trebuchet MS"/>
          <w:b/>
          <w:bCs/>
          <w:color w:val="00000A"/>
          <w:sz w:val="22"/>
          <w:szCs w:val="22"/>
        </w:rPr>
        <w:t>4.</w:t>
      </w:r>
      <w:r>
        <w:rPr>
          <w:rFonts w:eastAsia="Trebuchet MS" w:cs="Trebuchet MS" w:ascii="Trebuchet MS" w:hAnsi="Trebuchet MS"/>
          <w:color w:val="00000A"/>
          <w:sz w:val="22"/>
          <w:szCs w:val="22"/>
        </w:rPr>
        <w:tab/>
      </w:r>
      <w:r>
        <w:rPr>
          <w:rFonts w:cs="Trebuchet MS" w:ascii="Trebuchet MS" w:hAnsi="Trebuchet MS"/>
          <w:color w:val="00000A"/>
          <w:sz w:val="22"/>
        </w:rPr>
        <w:t xml:space="preserve">Il Comune di Reggio Emilia e il soggetto attuatore danno atto e dichiarano, ad ogni effetto, che l’Atto di accordo e i susseguenti Atti di accordo integrativi (per la realizzazione del primo stralcio attuativo “PRU_IP-1a” di cui all’art. 1 comma 5), nonché l’Atto costitutivo di STU Reggiane S.p.A. e l’Atto di accordo Bando Periferie (per l’estensione dell’ambito di intervento del soggetto attuatore anche ad altre aree del quartiere Santa Croce) richiamati nell’art. 2 ai commi 1, 2, 3 e 4, si configurano come atti costituenti rapporto di Partenariato Pubblico Privato, funzionali all’attuazione del </w:t>
      </w:r>
      <w:r>
        <w:rPr>
          <w:rFonts w:eastAsia="Trebuchet MS" w:cs="Trebuchet MS" w:ascii="Trebuchet MS" w:hAnsi="Trebuchet MS"/>
          <w:color w:val="00000A"/>
          <w:sz w:val="22"/>
          <w:szCs w:val="22"/>
        </w:rPr>
        <w:t>“PRU_IP - Bando Periferie Reggiane/SantaCroce”;</w:t>
      </w:r>
      <w:r>
        <w:rPr>
          <w:rFonts w:cs="Trebuchet MS" w:ascii="Trebuchet MS" w:hAnsi="Trebuchet MS"/>
          <w:color w:val="00000A"/>
          <w:sz w:val="22"/>
        </w:rPr>
        <w:t xml:space="preserve"> gli elaborati e gli atti tutti ad essi allegati, da intendersi qui integralmente richiamati e trascritti quale elemento integrante e costitutivo della presente convenzione, disciplinano gli interventi da attuarsi e prevalgono, ad ogni effetto, sulle disposizioni eventualmente contrastanti che dovessero essere contenute nella presente convenzione e/o negli ulteriori elaborati costitutivi del PRU.</w:t>
      </w:r>
    </w:p>
    <w:p>
      <w:pPr>
        <w:pStyle w:val="Standard"/>
        <w:widowControl w:val="false"/>
        <w:ind w:left="567" w:hanging="567"/>
        <w:jc w:val="both"/>
        <w:rPr>
          <w:rFonts w:ascii="Trebuchet MS" w:hAnsi="Trebuchet MS" w:cs="Trebuchet MS"/>
          <w:color w:val="00000A"/>
          <w:sz w:val="22"/>
        </w:rPr>
      </w:pPr>
      <w:r>
        <w:rPr>
          <w:rFonts w:cs="Trebuchet MS" w:ascii="Trebuchet MS" w:hAnsi="Trebuchet MS"/>
          <w:color w:val="00000A"/>
          <w:sz w:val="22"/>
        </w:rPr>
        <w:tab/>
        <w:t>Per quanto non disciplinato dagli Atti di accordo e dai relativi allegati troveranno applicazione le disposizioni contenute negli elaborati costitutivi del PRU.</w:t>
      </w:r>
    </w:p>
    <w:p>
      <w:pPr>
        <w:pStyle w:val="Standard"/>
        <w:widowControl w:val="false"/>
        <w:ind w:left="567" w:hanging="0"/>
        <w:jc w:val="both"/>
        <w:rPr>
          <w:rFonts w:ascii="Trebuchet MS" w:hAnsi="Trebuchet MS" w:cs="Trebuchet MS"/>
          <w:color w:val="00000A"/>
          <w:sz w:val="22"/>
        </w:rPr>
      </w:pPr>
      <w:r>
        <w:rPr>
          <w:rFonts w:cs="Trebuchet MS" w:ascii="Trebuchet MS" w:hAnsi="Trebuchet MS"/>
          <w:color w:val="00000A"/>
          <w:sz w:val="22"/>
        </w:rPr>
        <w:t>Parte degli impegni contenuti negli Atti di accordo viene testualmente riprodotta o specificamente richiamata dalla presente convenzione, fermo restando che quanto non costituisce oggetto di riproduzione o specifico richiamo nel testo della presente convenzione conserva comunque integrale efficacia tra le Parti e non potrà in alcun caso essere considerato oggetto di abbandono o decadenza.</w:t>
      </w:r>
    </w:p>
    <w:p>
      <w:pPr>
        <w:pStyle w:val="Standard"/>
        <w:widowControl w:val="false"/>
        <w:jc w:val="both"/>
        <w:rPr>
          <w:rFonts w:ascii="Trebuchet MS" w:hAnsi="Trebuchet MS" w:cs="Trebuchet MS"/>
          <w:color w:val="00000A"/>
        </w:rPr>
      </w:pPr>
      <w:r>
        <w:rPr>
          <w:rFonts w:cs="Trebuchet MS" w:ascii="Trebuchet MS" w:hAnsi="Trebuchet MS"/>
          <w:color w:val="00000A"/>
        </w:rPr>
      </w:r>
    </w:p>
    <w:p>
      <w:pPr>
        <w:pStyle w:val="Standard"/>
        <w:widowControl w:val="false"/>
        <w:spacing w:lineRule="atLeast" w:line="200"/>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4</w:t>
        <w:tab/>
        <w:t>-</w:t>
        <w:tab/>
        <w:t>Descrizione degli interventi, finalità e obiettivi del PRU</w:t>
      </w:r>
    </w:p>
    <w:p>
      <w:pPr>
        <w:pStyle w:val="Standard"/>
        <w:widowControl w:val="false"/>
        <w:spacing w:lineRule="atLeast" w:line="200"/>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Testonormale1"/>
        <w:widowControl w:val="false"/>
        <w:ind w:left="567" w:hanging="567"/>
        <w:jc w:val="both"/>
        <w:rPr>
          <w:color w:val="00000A"/>
        </w:rPr>
      </w:pPr>
      <w:r>
        <w:rPr>
          <w:rFonts w:cs="Trebuchet MS" w:ascii="Trebuchet MS" w:hAnsi="Trebuchet MS"/>
          <w:b/>
          <w:bCs/>
          <w:color w:val="00000A"/>
          <w:sz w:val="22"/>
        </w:rPr>
        <w:t>1.</w:t>
        <w:tab/>
      </w:r>
      <w:r>
        <w:rPr>
          <w:rFonts w:cs="Trebuchet MS" w:ascii="Trebuchet MS" w:hAnsi="Trebuchet MS"/>
          <w:bCs/>
          <w:color w:val="00000A"/>
          <w:sz w:val="22"/>
        </w:rPr>
        <w:t xml:space="preserve">Il </w:t>
      </w:r>
      <w:r>
        <w:rPr>
          <w:rFonts w:cs="Trebuchet MS" w:ascii="Trebuchet MS" w:hAnsi="Trebuchet MS"/>
          <w:color w:val="00000A"/>
          <w:sz w:val="22"/>
          <w:szCs w:val="22"/>
        </w:rPr>
        <w:t>“PRU_IP - Bando Periferie Reggiane/SantaCroce”</w:t>
      </w:r>
      <w:r>
        <w:rPr>
          <w:rFonts w:cs="Trebuchet MS" w:ascii="Trebuchet MS" w:hAnsi="Trebuchet MS"/>
          <w:bCs/>
          <w:color w:val="00000A"/>
          <w:sz w:val="22"/>
        </w:rPr>
        <w:t xml:space="preserve"> persegue l’obiettivo strategico di rigenerare/riqualificare parte del quartiere storico “Santa Croce” e di sviluppare nel contempo il “Parco della conoscenza, innovazione e creatività” quale volano per promuovere lo sviluppo competitivo del territorio e delle sue imprese, nelle seguenti modalità:</w:t>
      </w:r>
    </w:p>
    <w:p>
      <w:pPr>
        <w:pStyle w:val="Testonormale1"/>
        <w:widowControl w:val="false"/>
        <w:ind w:left="850" w:hanging="283"/>
        <w:jc w:val="both"/>
        <w:rPr>
          <w:color w:val="00000A"/>
        </w:rPr>
      </w:pPr>
      <w:r>
        <w:rPr>
          <w:rFonts w:cs="Trebuchet MS" w:ascii="Trebuchet MS" w:hAnsi="Trebuchet MS"/>
          <w:bCs/>
          <w:color w:val="00000A"/>
          <w:sz w:val="22"/>
        </w:rPr>
        <w:t>-</w:t>
        <w:tab/>
      </w:r>
      <w:r>
        <w:rPr>
          <w:rFonts w:cs="Trebuchet MS" w:ascii="Trebuchet MS" w:hAnsi="Trebuchet MS"/>
          <w:color w:val="00000A"/>
          <w:sz w:val="22"/>
          <w:szCs w:val="22"/>
        </w:rPr>
        <w:t>nel sub-comparto est (“PRU_IP-1a.bis - Ambito Centro Intermodale (CIM) ed ex Officine Reggiane - Capannone 19, capannone 18, capannone 17, piazzale Europa, braccio storico di viale Ramazzini e capannone 15”) i</w:t>
      </w:r>
      <w:r>
        <w:rPr>
          <w:rFonts w:cs="Trebuchet MS" w:ascii="Trebuchet MS" w:hAnsi="Trebuchet MS"/>
          <w:bCs/>
          <w:color w:val="00000A"/>
          <w:sz w:val="22"/>
        </w:rPr>
        <w:t>l primo consolidato nucleo del “Parco della conoscenza, innovazione e creatività” è costituito dai centri di ricerca già esistenti: il Centro Internazionale Loris Malaguzzi e il Tecnopolo (capannone 19) che comprende laboratori universitari e centri di ricerca per il trasferimento tecnologico; la crescita e la sinergia di queste strutture incentiverà altre aziende di eccellenza a collocarsi in quest’area per sviluppare filiere innovative e nuove imprese, con l’obiettivo di generare e implementare nuove idee al fine di aumentare l’attrattività e la competitività della città e del suo tessuto economico e produttivo;</w:t>
      </w:r>
    </w:p>
    <w:p>
      <w:pPr>
        <w:pStyle w:val="Standard"/>
        <w:widowControl w:val="false"/>
        <w:spacing w:lineRule="atLeast" w:line="200"/>
        <w:ind w:left="850" w:hanging="283"/>
        <w:jc w:val="both"/>
        <w:rPr>
          <w:color w:val="00000A"/>
        </w:rPr>
      </w:pPr>
      <w:r>
        <w:rPr>
          <w:rFonts w:cs="Trebuchet MS" w:ascii="Trebuchet MS" w:hAnsi="Trebuchet MS"/>
          <w:color w:val="00000A"/>
          <w:sz w:val="22"/>
          <w:szCs w:val="22"/>
        </w:rPr>
        <w:t>-</w:t>
        <w:tab/>
        <w:t>nel sub-comparto ovest (“PRU_IP-1b - Ambito Santa Croce - via Gioia, via Talami, via Veneri sud e viale Ramazzini ovest”) il riuso -anche temporaneo- di ambiti produttivi dismessi, sia pubblici che privati, verso funzioni principalmente finalizzate ad ospitare enti e associazioni volte ad offrire servizi di interesse generale (in ambito culturale, sociale, sportivo, ecc...) attiverà nuove dinamiche di innovazione sociale in grado di ri-creare interazione fra il quartiere e le polarità pubbliche presenti, di aumentare il presidio del territorio, di favorire le relazioni interculturali e, più in generale, di sviluppare nuove forme di cittadinanza attiva.</w:t>
      </w:r>
    </w:p>
    <w:p>
      <w:pPr>
        <w:pStyle w:val="Standard"/>
        <w:widowControl w:val="false"/>
        <w:spacing w:lineRule="atLeast" w:line="200"/>
        <w:ind w:left="850" w:hanging="283"/>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567" w:hanging="567"/>
        <w:jc w:val="both"/>
        <w:rPr>
          <w:color w:val="00000A"/>
        </w:rPr>
      </w:pPr>
      <w:r>
        <w:rPr>
          <w:rFonts w:cs="Trebuchet MS" w:ascii="Trebuchet MS" w:hAnsi="Trebuchet MS"/>
          <w:b/>
          <w:bCs/>
          <w:color w:val="00000A"/>
          <w:sz w:val="22"/>
          <w:szCs w:val="22"/>
        </w:rPr>
        <w:t>2.</w:t>
        <w:tab/>
      </w:r>
      <w:r>
        <w:rPr>
          <w:rFonts w:cs="Trebuchet MS" w:ascii="Trebuchet MS" w:hAnsi="Trebuchet MS"/>
          <w:bCs/>
          <w:color w:val="00000A"/>
          <w:sz w:val="22"/>
          <w:szCs w:val="22"/>
        </w:rPr>
        <w:t xml:space="preserve">Il </w:t>
      </w:r>
      <w:r>
        <w:rPr>
          <w:rFonts w:cs="Trebuchet MS" w:ascii="Trebuchet MS" w:hAnsi="Trebuchet MS"/>
          <w:color w:val="00000A"/>
          <w:sz w:val="22"/>
          <w:szCs w:val="22"/>
        </w:rPr>
        <w:t>“PRU_IP - Bando Periferie Reggiane/SantaCroce”</w:t>
      </w:r>
      <w:r>
        <w:rPr>
          <w:rFonts w:cs="Trebuchet MS" w:ascii="Trebuchet MS" w:hAnsi="Trebuchet MS"/>
          <w:bCs/>
          <w:color w:val="00000A"/>
          <w:sz w:val="22"/>
          <w:szCs w:val="22"/>
        </w:rPr>
        <w:t xml:space="preserve"> persegue altresì, in coerenza con gli obiettivi strategici sopra definiti, i seguenti principali obiettivi e interventi:</w:t>
      </w:r>
    </w:p>
    <w:p>
      <w:pPr>
        <w:pStyle w:val="Standard"/>
        <w:widowControl w:val="false"/>
        <w:ind w:left="567" w:hanging="567"/>
        <w:jc w:val="both"/>
        <w:rPr>
          <w:rFonts w:ascii="Trebuchet MS" w:hAnsi="Trebuchet MS" w:cs="Trebuchet MS"/>
          <w:color w:val="00000A"/>
          <w:sz w:val="10"/>
          <w:szCs w:val="10"/>
        </w:rPr>
      </w:pPr>
      <w:r>
        <w:rPr>
          <w:rFonts w:cs="Trebuchet MS" w:ascii="Trebuchet MS" w:hAnsi="Trebuchet MS"/>
          <w:color w:val="00000A"/>
          <w:sz w:val="10"/>
          <w:szCs w:val="10"/>
        </w:rPr>
      </w:r>
    </w:p>
    <w:p>
      <w:pPr>
        <w:pStyle w:val="Testonormale1"/>
        <w:widowControl w:val="false"/>
        <w:ind w:left="850" w:hanging="283"/>
        <w:jc w:val="both"/>
        <w:rPr>
          <w:color w:val="00000A"/>
        </w:rPr>
      </w:pPr>
      <w:r>
        <w:rPr>
          <w:rFonts w:cs="Trebuchet MS" w:ascii="Trebuchet MS" w:hAnsi="Trebuchet MS"/>
          <w:bCs/>
          <w:color w:val="00000A"/>
          <w:sz w:val="22"/>
          <w:szCs w:val="22"/>
        </w:rPr>
        <w:t>-</w:t>
        <w:tab/>
      </w:r>
      <w:r>
        <w:rPr>
          <w:rFonts w:cs="Trebuchet MS" w:ascii="Trebuchet MS" w:hAnsi="Trebuchet MS"/>
          <w:bCs/>
          <w:i/>
          <w:iCs/>
          <w:color w:val="00000A"/>
          <w:sz w:val="22"/>
          <w:szCs w:val="22"/>
        </w:rPr>
        <w:t xml:space="preserve">obiettivi specifici </w:t>
      </w:r>
      <w:r>
        <w:rPr>
          <w:rFonts w:cs="Trebuchet MS" w:ascii="Trebuchet MS" w:hAnsi="Trebuchet MS"/>
          <w:i/>
          <w:iCs/>
          <w:color w:val="00000A"/>
          <w:sz w:val="22"/>
          <w:szCs w:val="22"/>
        </w:rPr>
        <w:t>nel sub-comparto est (“PRU_IP-1a.bis”):</w:t>
      </w:r>
    </w:p>
    <w:p>
      <w:pPr>
        <w:pStyle w:val="Standard"/>
        <w:widowControl w:val="false"/>
        <w:tabs>
          <w:tab w:val="left" w:pos="-2552" w:leader="none"/>
        </w:tabs>
        <w:ind w:left="1134" w:hanging="283"/>
        <w:jc w:val="both"/>
        <w:rPr>
          <w:rFonts w:ascii="Trebuchet MS" w:hAnsi="Trebuchet MS" w:cs="Trebuchet MS"/>
          <w:color w:val="00000A"/>
          <w:sz w:val="22"/>
        </w:rPr>
      </w:pPr>
      <w:r>
        <w:rPr>
          <w:rFonts w:cs="Trebuchet MS" w:ascii="Trebuchet MS" w:hAnsi="Trebuchet MS"/>
          <w:color w:val="00000A"/>
          <w:sz w:val="22"/>
        </w:rPr>
        <w:t>-</w:t>
        <w:tab/>
        <w:t>riqualificazione/rigenerazione dell’ambito e miglioramento della qualità ambientale grazie ad interventi sostenibili che prevedono misure volte a proteggere l’ambiente e la salute umana, prevenendo e/o riducendo gli impatti negativi degli interventi e rimuovendo le conseguenze delle lesioni ambientali arrecate dalle pregresse attività sviluppate nel sito;</w:t>
      </w:r>
    </w:p>
    <w:p>
      <w:pPr>
        <w:pStyle w:val="Standard"/>
        <w:widowControl w:val="false"/>
        <w:tabs>
          <w:tab w:val="left" w:pos="-2552" w:leader="none"/>
        </w:tabs>
        <w:ind w:left="1134" w:hanging="283"/>
        <w:jc w:val="both"/>
        <w:rPr>
          <w:color w:val="00000A"/>
        </w:rPr>
      </w:pPr>
      <w:r>
        <w:rPr>
          <w:rFonts w:cs="Trebuchet MS" w:ascii="Trebuchet MS" w:hAnsi="Trebuchet MS"/>
          <w:color w:val="00000A"/>
          <w:sz w:val="22"/>
        </w:rPr>
        <w:t>-</w:t>
        <w:tab/>
        <w:t xml:space="preserve">riqualificazione/riapertura di nuove connessioni per la </w:t>
      </w:r>
      <w:r>
        <w:rPr>
          <w:rFonts w:eastAsia="SimSun, 'Arial Unicode MS'" w:cs="Trebuchet MS" w:ascii="Trebuchet MS" w:hAnsi="Trebuchet MS"/>
          <w:color w:val="00000A"/>
          <w:sz w:val="22"/>
          <w:lang w:bidi="hi-IN"/>
        </w:rPr>
        <w:t>mobilità carrabile pubblica e privata finalizzati ad intercettare e semplificare i flussi a scala extraurbana;</w:t>
      </w:r>
    </w:p>
    <w:p>
      <w:pPr>
        <w:pStyle w:val="Standard"/>
        <w:widowControl w:val="false"/>
        <w:tabs>
          <w:tab w:val="left" w:pos="-2552" w:leader="none"/>
        </w:tabs>
        <w:ind w:left="1134" w:hanging="283"/>
        <w:jc w:val="both"/>
        <w:rPr>
          <w:color w:val="00000A"/>
        </w:rPr>
      </w:pPr>
      <w:r>
        <w:rPr>
          <w:rFonts w:eastAsia="SimSun, 'Arial Unicode MS'" w:cs="Trebuchet MS" w:ascii="Trebuchet MS" w:hAnsi="Trebuchet MS"/>
          <w:color w:val="00000A"/>
          <w:sz w:val="22"/>
          <w:lang w:bidi="hi-IN"/>
        </w:rPr>
        <w:t>-</w:t>
        <w:tab/>
        <w:t>realizzazione e razionalizzazione di collegamenti capillari e diffusi per la mobilità ciclo-pedonale a scala urbana verso il centro storico, i quartieri limitrofi (A</w:t>
      </w:r>
      <w:r>
        <w:rPr>
          <w:rFonts w:eastAsia="SimSun, 'Arial Unicode MS'" w:cs="Trebuchet MS" w:ascii="Trebuchet MS" w:hAnsi="Trebuchet MS"/>
          <w:color w:val="00000A"/>
          <w:sz w:val="22"/>
          <w:szCs w:val="22"/>
          <w:lang w:bidi="hi-IN"/>
        </w:rPr>
        <w:t>rea Nord, quartiere Santa Croce, area a sud della stazione ferroviaria storica, area Campo Volo) e i punti nodali del sistema “educazione e conoscenza” (Centro Internazionale Loris Malaguzzi, Tecnopolo, C</w:t>
      </w:r>
      <w:r>
        <w:rPr>
          <w:rFonts w:eastAsia="SimSun, 'Arial Unicode MS'" w:cs="Trebuchet MS" w:ascii="Trebuchet MS" w:hAnsi="Trebuchet MS"/>
          <w:bCs/>
          <w:color w:val="00000A"/>
          <w:sz w:val="22"/>
          <w:szCs w:val="22"/>
          <w:lang w:bidi="hi-IN"/>
        </w:rPr>
        <w:t>ampus universitario di San Lazzaro, Parco della conoscenza, innovazione e creatività</w:t>
      </w:r>
      <w:r>
        <w:rPr>
          <w:rFonts w:eastAsia="SimSun, 'Arial Unicode MS'" w:cs="Trebuchet MS" w:ascii="Trebuchet MS" w:hAnsi="Trebuchet MS"/>
          <w:color w:val="00000A"/>
          <w:sz w:val="22"/>
          <w:szCs w:val="22"/>
          <w:lang w:bidi="hi-IN"/>
        </w:rPr>
        <w:t>);</w:t>
      </w:r>
    </w:p>
    <w:p>
      <w:pPr>
        <w:pStyle w:val="Standard"/>
        <w:widowControl w:val="false"/>
        <w:tabs>
          <w:tab w:val="left" w:pos="-2552" w:leader="none"/>
        </w:tabs>
        <w:ind w:left="1134" w:hanging="283"/>
        <w:jc w:val="both"/>
        <w:rPr>
          <w:color w:val="00000A"/>
        </w:rPr>
      </w:pPr>
      <w:r>
        <w:rPr>
          <w:rFonts w:eastAsia="SimSun, 'Arial Unicode MS'" w:cs="Trebuchet MS" w:ascii="Trebuchet MS" w:hAnsi="Trebuchet MS"/>
          <w:color w:val="00000A"/>
          <w:sz w:val="22"/>
          <w:szCs w:val="22"/>
          <w:lang w:bidi="hi-IN"/>
        </w:rPr>
        <w:t>-</w:t>
        <w:tab/>
        <w:t xml:space="preserve">razionalizzazione e </w:t>
      </w:r>
      <w:r>
        <w:rPr>
          <w:rFonts w:eastAsia="SimSun, 'Arial Unicode MS'" w:cs="Trebuchet MS" w:ascii="Trebuchet MS" w:hAnsi="Trebuchet MS"/>
          <w:color w:val="00000A"/>
          <w:sz w:val="22"/>
          <w:lang w:bidi="hi-IN"/>
        </w:rPr>
        <w:t>segnalazione, informazione e messa in rete del sistema di connessioni e collegamenti delle emergenze, nonché del sistema della mobilità e degli eventi della città.</w:t>
      </w:r>
    </w:p>
    <w:p>
      <w:pPr>
        <w:pStyle w:val="Standard"/>
        <w:widowControl w:val="false"/>
        <w:tabs>
          <w:tab w:val="left" w:pos="-2552" w:leader="none"/>
        </w:tabs>
        <w:ind w:left="1134" w:hanging="283"/>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283"/>
        <w:jc w:val="both"/>
        <w:rPr>
          <w:color w:val="00000A"/>
        </w:rPr>
      </w:pPr>
      <w:r>
        <w:rPr>
          <w:rFonts w:cs="Trebuchet MS" w:ascii="Trebuchet MS" w:hAnsi="Trebuchet MS"/>
          <w:i/>
          <w:iCs/>
          <w:color w:val="00000A"/>
          <w:sz w:val="22"/>
        </w:rPr>
        <w:t>-</w:t>
        <w:tab/>
        <w:t xml:space="preserve">interventi previsti </w:t>
      </w:r>
      <w:r>
        <w:rPr>
          <w:rFonts w:cs="Trebuchet MS" w:ascii="Trebuchet MS" w:hAnsi="Trebuchet MS"/>
          <w:i/>
          <w:iCs/>
          <w:color w:val="00000A"/>
          <w:sz w:val="22"/>
          <w:szCs w:val="22"/>
        </w:rPr>
        <w:t>nel sub-comparto est (“PRU_IP-1a.bis”)</w:t>
      </w:r>
      <w:r>
        <w:rPr>
          <w:rFonts w:cs="Trebuchet MS" w:ascii="Trebuchet MS" w:hAnsi="Trebuchet MS"/>
          <w:i/>
          <w:iCs/>
          <w:color w:val="00000A"/>
          <w:sz w:val="22"/>
        </w:rPr>
        <w:t>:</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fisica e funzionale di piazzale Europa e sua trasformazione in nuova polarità urbana quale ingresso al “Parco della conoscenza, innovazione e creatività”, nuovo fronte nord della stazione ferroviaria storica e nuovo collegamento fra il quartiere e il centro storico della città; riconversione dell’attuale parcheggio (CIM) in un parco innovativo in cui siano compresenti spazi di sosta, la cui fruizione continua sarà incentivata dalla presenza nel quartiere di funzioni differenziate e alternative fra di loro, e funzioni di piattaforma intermodale, finalizzate alla gestione di nuovi flussi e dinamiche di utilizzo, in coerenza con la futura evoluzione del contesto;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riapertura, riqualificazione fisica e funzionale del braccio storico di viale Ramazzini, attualmente ricompreso all’interno dell’Area ex Officine Reggiane, quale dorsale delle funzioni e degli spazi pubblici più rilevanti nonché quale boulevard di ingresso, distribuzione e collegamento del quartiere e del “Parco della conoscenza, innovazione e creatività” al sistema viario portante delle tangenziali;</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potenziamento ed ampliamento del ruolo attrattivo svolto dalle polarità esistenti (Centro Internazionale Loris Malaguzzi e Tecnopolo);</w:t>
      </w:r>
    </w:p>
    <w:p>
      <w:pPr>
        <w:pStyle w:val="Standard"/>
        <w:widowControl w:val="false"/>
        <w:ind w:left="1134" w:hanging="283"/>
        <w:jc w:val="both"/>
        <w:rPr>
          <w:color w:val="00000A"/>
        </w:rPr>
      </w:pPr>
      <w:r>
        <w:rPr>
          <w:rFonts w:cs="Trebuchet MS" w:ascii="Trebuchet MS" w:hAnsi="Trebuchet MS"/>
          <w:color w:val="00000A"/>
          <w:sz w:val="22"/>
        </w:rPr>
        <w:t>-</w:t>
        <w:tab/>
        <w:t xml:space="preserve">conferma del Tecnopolo </w:t>
      </w:r>
      <w:r>
        <w:rPr>
          <w:rFonts w:cs="Trebuchet MS" w:ascii="Trebuchet MS" w:hAnsi="Trebuchet MS"/>
          <w:bCs/>
          <w:color w:val="00000A"/>
          <w:sz w:val="22"/>
        </w:rPr>
        <w:t xml:space="preserve">(capannone 19), che comprende laboratori universitari e centri di ricerca per il trasferimento tecnologico, quale </w:t>
      </w:r>
      <w:r>
        <w:rPr>
          <w:rFonts w:cs="Trebuchet MS" w:ascii="Trebuchet MS" w:hAnsi="Trebuchet MS"/>
          <w:color w:val="00000A"/>
          <w:sz w:val="22"/>
        </w:rPr>
        <w:t xml:space="preserve">dotazione territoriale per attrezzature e spazi collettivi (di cui all’art. A-24 della LR 20/2000 e s.m.i.), oggetto di cessione anticipata rispetto allo sviluppo del PRU, nel più complessivo contesto di riqualificazione dell’ambito in cui è fisicamente e giuridicamente ricompreso, in una prospettiva di ampliamento che ne permetta l’adeguamento funzionale all’interno del più complessivo progetto di riqualificazione e di costruzione del “Parco della conoscenza, innovazione e creatività”. Il Tecnopolo viene confermato quale progetto che per primo ha segnato lo stigma della riqualificazione dell’intera area, caratterizzato come “incubatore” per lo </w:t>
      </w:r>
      <w:r>
        <w:rPr>
          <w:rFonts w:cs="Trebuchet MS" w:ascii="Trebuchet MS" w:hAnsi="Trebuchet MS"/>
          <w:i/>
          <w:iCs/>
          <w:color w:val="00000A"/>
          <w:sz w:val="22"/>
        </w:rPr>
        <w:t>start–up</w:t>
      </w:r>
      <w:r>
        <w:rPr>
          <w:rFonts w:cs="Trebuchet MS" w:ascii="Trebuchet MS" w:hAnsi="Trebuchet MS"/>
          <w:color w:val="00000A"/>
          <w:sz w:val="22"/>
        </w:rPr>
        <w:t xml:space="preserve"> e lo </w:t>
      </w:r>
      <w:r>
        <w:rPr>
          <w:rFonts w:cs="Trebuchet MS" w:ascii="Trebuchet MS" w:hAnsi="Trebuchet MS"/>
          <w:i/>
          <w:iCs/>
          <w:color w:val="00000A"/>
          <w:sz w:val="22"/>
        </w:rPr>
        <w:t xml:space="preserve">spin-off </w:t>
      </w:r>
      <w:r>
        <w:rPr>
          <w:rFonts w:cs="Trebuchet MS" w:ascii="Trebuchet MS" w:hAnsi="Trebuchet MS"/>
          <w:color w:val="00000A"/>
          <w:sz w:val="22"/>
        </w:rPr>
        <w:t xml:space="preserve">d’impresa, con la funzione di mettere in contatto i laboratori di ricerca pubblici e privati con le imprese, trasferire </w:t>
      </w:r>
      <w:r>
        <w:rPr>
          <w:rFonts w:cs="Trebuchet MS" w:ascii="Trebuchet MS" w:hAnsi="Trebuchet MS"/>
          <w:i/>
          <w:iCs/>
          <w:color w:val="00000A"/>
          <w:sz w:val="22"/>
        </w:rPr>
        <w:t>know-how</w:t>
      </w:r>
      <w:r>
        <w:rPr>
          <w:rFonts w:cs="Trebuchet MS" w:ascii="Trebuchet MS" w:hAnsi="Trebuchet MS"/>
          <w:color w:val="00000A"/>
          <w:sz w:val="22"/>
        </w:rPr>
        <w:t xml:space="preserve">, diffondere informazioni tecnologiche e creare quel </w:t>
      </w:r>
      <w:r>
        <w:rPr>
          <w:rFonts w:cs="Trebuchet MS" w:ascii="Trebuchet MS" w:hAnsi="Trebuchet MS"/>
          <w:i/>
          <w:iCs/>
          <w:color w:val="00000A"/>
          <w:sz w:val="22"/>
        </w:rPr>
        <w:t>network</w:t>
      </w:r>
      <w:r>
        <w:rPr>
          <w:rFonts w:cs="Trebuchet MS" w:ascii="Trebuchet MS" w:hAnsi="Trebuchet MS"/>
          <w:color w:val="00000A"/>
          <w:sz w:val="22"/>
        </w:rPr>
        <w:t xml:space="preserve"> di relazioni necessarie alla creazione e alla diffusione della conoscenza;</w:t>
      </w:r>
    </w:p>
    <w:p>
      <w:pPr>
        <w:pStyle w:val="Standard"/>
        <w:widowControl w:val="false"/>
        <w:ind w:left="1134" w:hanging="283"/>
        <w:jc w:val="both"/>
        <w:rPr>
          <w:color w:val="00000A"/>
        </w:rPr>
      </w:pPr>
      <w:r>
        <w:rPr>
          <w:rFonts w:cs="Trebuchet MS" w:ascii="Trebuchet MS" w:hAnsi="Trebuchet MS"/>
          <w:color w:val="00000A"/>
          <w:sz w:val="22"/>
        </w:rPr>
        <w:t>-</w:t>
        <w:tab/>
        <w:t xml:space="preserve">riqualificazione architettonica e funzionale dei capannoni 15b, 15c, 17 e 18, adiacenti al Tecnopolo (capannone 19), con interventi coerenti con gli stilemi che hanno caratterizzato il progetto del Tecnopolo stesso, oggi esistente e operativo, prevedendo </w:t>
      </w:r>
      <w:r>
        <w:rPr>
          <w:rFonts w:cs="Trebuchet MS" w:ascii="Trebuchet MS" w:hAnsi="Trebuchet MS"/>
          <w:bCs/>
          <w:color w:val="00000A"/>
          <w:sz w:val="22"/>
        </w:rPr>
        <w:t xml:space="preserve">il recupero e la valorizzazione della struttura industriale esistente (intesa come straordinaria testimonianza della memoria storica del contesto) per la realizzazione di “contenitori” idonei principalmente alla collocazione di centri di ricerca, </w:t>
      </w:r>
      <w:r>
        <w:rPr>
          <w:rFonts w:cs="Trebuchet MS" w:ascii="Trebuchet MS" w:hAnsi="Trebuchet MS"/>
          <w:bCs/>
          <w:i/>
          <w:iCs/>
          <w:color w:val="00000A"/>
          <w:sz w:val="22"/>
        </w:rPr>
        <w:t>start-up</w:t>
      </w:r>
      <w:r>
        <w:rPr>
          <w:rFonts w:cs="Trebuchet MS" w:ascii="Trebuchet MS" w:hAnsi="Trebuchet MS"/>
          <w:bCs/>
          <w:color w:val="00000A"/>
          <w:sz w:val="22"/>
        </w:rPr>
        <w:t xml:space="preserve"> e </w:t>
      </w:r>
      <w:r>
        <w:rPr>
          <w:rFonts w:cs="Trebuchet MS" w:ascii="Trebuchet MS" w:hAnsi="Trebuchet MS"/>
          <w:bCs/>
          <w:i/>
          <w:iCs/>
          <w:color w:val="00000A"/>
          <w:sz w:val="22"/>
        </w:rPr>
        <w:t>spin-off</w:t>
      </w:r>
      <w:r>
        <w:rPr>
          <w:rFonts w:cs="Trebuchet MS" w:ascii="Trebuchet MS" w:hAnsi="Trebuchet MS"/>
          <w:bCs/>
          <w:color w:val="00000A"/>
          <w:sz w:val="22"/>
        </w:rPr>
        <w:t xml:space="preserve"> d’impresa, nuove realtà imprenditoriali produttive, attività legate al terziario avanzato, alla cultura, ai servizi e alla residenza collettiva non turistica; gli interventi verranno realizzati secondo criteri di sostenibilità ambientale, flessibilità ed efficienza energetica, e saranno strettamente commisurati alle esigenze -anche di ampliamento e/o nuova costruzione- delle attività che vi si verranno ad insediare;</w:t>
      </w:r>
    </w:p>
    <w:p>
      <w:pPr>
        <w:pStyle w:val="Standard"/>
        <w:widowControl w:val="false"/>
        <w:ind w:left="1134" w:hanging="283"/>
        <w:jc w:val="both"/>
        <w:rPr>
          <w:rFonts w:ascii="Trebuchet MS" w:hAnsi="Trebuchet MS" w:cs="Trebuchet MS"/>
          <w:bCs/>
          <w:color w:val="00000A"/>
          <w:sz w:val="22"/>
        </w:rPr>
      </w:pPr>
      <w:r>
        <w:rPr>
          <w:rFonts w:cs="Trebuchet MS" w:ascii="Trebuchet MS" w:hAnsi="Trebuchet MS"/>
          <w:bCs/>
          <w:color w:val="00000A"/>
          <w:sz w:val="22"/>
        </w:rPr>
        <w:t>-</w:t>
        <w:tab/>
        <w:t>messa in sicurezza e recupero funzionale del capannone 15a, adiacente al Tecnopolo (capannone 19) e parallelo alla linea ferroviaria Milano-Bologna, con interventi di miglioramento sismico delle strutture esistenti per rendere possibile un utilizzo polifunzionale della struttura, principalmente vocata ad ospitare attività culturali, ricreative, sportive e di spettacolo a servizio del quartiere e dell’intera città;</w:t>
      </w:r>
    </w:p>
    <w:p>
      <w:pPr>
        <w:pStyle w:val="Standard"/>
        <w:widowControl w:val="false"/>
        <w:ind w:left="1134" w:hanging="283"/>
        <w:jc w:val="both"/>
        <w:rPr>
          <w:rFonts w:ascii="Trebuchet MS" w:hAnsi="Trebuchet MS" w:cs="Trebuchet MS"/>
          <w:bCs/>
          <w:color w:val="00000A"/>
          <w:sz w:val="22"/>
        </w:rPr>
      </w:pPr>
      <w:r>
        <w:rPr>
          <w:rFonts w:cs="Trebuchet MS" w:ascii="Trebuchet MS" w:hAnsi="Trebuchet MS"/>
          <w:bCs/>
          <w:color w:val="00000A"/>
          <w:sz w:val="22"/>
        </w:rPr>
        <w:t>-</w:t>
        <w:tab/>
        <w:t>risoluzione delle eventuali problematiche ambientali, connesse alle matrici suolo ed aria, in conformità a quanto previsto nei progetti di caratterizzazione e bonifica dell’area nonché alle prescrizioni degli Enti competenti in materia ambientale.</w:t>
      </w:r>
    </w:p>
    <w:p>
      <w:pPr>
        <w:pStyle w:val="Standard"/>
        <w:widowControl w:val="false"/>
        <w:ind w:left="1134" w:hanging="283"/>
        <w:jc w:val="both"/>
        <w:rPr>
          <w:rFonts w:ascii="Trebuchet MS" w:hAnsi="Trebuchet MS" w:cs="Trebuchet MS"/>
          <w:bCs/>
          <w:color w:val="00000A"/>
          <w:sz w:val="10"/>
          <w:szCs w:val="10"/>
        </w:rPr>
      </w:pPr>
      <w:r>
        <w:rPr>
          <w:rFonts w:cs="Trebuchet MS" w:ascii="Trebuchet MS" w:hAnsi="Trebuchet MS"/>
          <w:bCs/>
          <w:color w:val="00000A"/>
          <w:sz w:val="10"/>
          <w:szCs w:val="10"/>
        </w:rPr>
      </w:r>
    </w:p>
    <w:p>
      <w:pPr>
        <w:pStyle w:val="Testonormale1"/>
        <w:widowControl w:val="false"/>
        <w:ind w:left="850" w:hanging="283"/>
        <w:jc w:val="both"/>
        <w:rPr>
          <w:color w:val="00000A"/>
        </w:rPr>
      </w:pPr>
      <w:r>
        <w:rPr>
          <w:rFonts w:cs="Trebuchet MS" w:ascii="Trebuchet MS" w:hAnsi="Trebuchet MS"/>
          <w:bCs/>
          <w:color w:val="00000A"/>
          <w:sz w:val="22"/>
          <w:szCs w:val="22"/>
        </w:rPr>
        <w:t>-</w:t>
        <w:tab/>
      </w:r>
      <w:r>
        <w:rPr>
          <w:rFonts w:cs="Trebuchet MS" w:ascii="Trebuchet MS" w:hAnsi="Trebuchet MS"/>
          <w:bCs/>
          <w:i/>
          <w:iCs/>
          <w:color w:val="00000A"/>
          <w:sz w:val="22"/>
          <w:szCs w:val="22"/>
        </w:rPr>
        <w:t xml:space="preserve">obiettivi specifici </w:t>
      </w:r>
      <w:r>
        <w:rPr>
          <w:rFonts w:cs="Trebuchet MS" w:ascii="Trebuchet MS" w:hAnsi="Trebuchet MS"/>
          <w:i/>
          <w:iCs/>
          <w:color w:val="00000A"/>
          <w:sz w:val="22"/>
          <w:szCs w:val="22"/>
        </w:rPr>
        <w:t>nel sub-comparto ovest (“PRU_IP-1b”):</w:t>
      </w:r>
    </w:p>
    <w:p>
      <w:pPr>
        <w:pStyle w:val="Standard"/>
        <w:widowControl w:val="false"/>
        <w:tabs>
          <w:tab w:val="left" w:pos="-2552" w:leader="none"/>
        </w:tabs>
        <w:ind w:left="1134" w:hanging="283"/>
        <w:jc w:val="both"/>
        <w:rPr>
          <w:rFonts w:ascii="Trebuchet MS" w:hAnsi="Trebuchet MS" w:cs="Trebuchet MS"/>
          <w:color w:val="00000A"/>
          <w:sz w:val="22"/>
        </w:rPr>
      </w:pPr>
      <w:r>
        <w:rPr>
          <w:rFonts w:cs="Trebuchet MS" w:ascii="Trebuchet MS" w:hAnsi="Trebuchet MS"/>
          <w:color w:val="00000A"/>
          <w:sz w:val="22"/>
        </w:rPr>
        <w:t>-</w:t>
        <w:tab/>
        <w:t>attivazione e sostegno al processo di rigenerazione urbana “collaborativa” del quartiere storico Santa Croce;</w:t>
      </w:r>
    </w:p>
    <w:p>
      <w:pPr>
        <w:pStyle w:val="Standard"/>
        <w:widowControl w:val="false"/>
        <w:tabs>
          <w:tab w:val="left" w:pos="-2552" w:leader="none"/>
        </w:tabs>
        <w:ind w:left="1134" w:hanging="283"/>
        <w:jc w:val="both"/>
        <w:rPr>
          <w:rFonts w:ascii="Trebuchet MS" w:hAnsi="Trebuchet MS" w:cs="Trebuchet MS"/>
          <w:color w:val="00000A"/>
          <w:sz w:val="22"/>
        </w:rPr>
      </w:pPr>
      <w:r>
        <w:rPr>
          <w:rFonts w:cs="Trebuchet MS" w:ascii="Trebuchet MS" w:hAnsi="Trebuchet MS"/>
          <w:color w:val="00000A"/>
          <w:sz w:val="22"/>
        </w:rPr>
        <w:t>-</w:t>
        <w:tab/>
        <w:t>riuso, anche temporaneo e con interventi di micro-riqualificazione (manutenzioni, messe in sicurezza, adeguamenti funzionali), della città privata, con particolare riferimento alle aree produttive dismesse e agli spazi abbandonati e/o residuali, al fine di attivare nuove forme di innovazione sociale (servizi e processi) in grado di favorire l’interazione fra il quartiere e le polarità pubbliche presenti, aumentare il presidio del territorio, favorire le interazioni interculturali e, più in generale, sviluppare forme di cittadinanza attiva;</w:t>
      </w:r>
    </w:p>
    <w:p>
      <w:pPr>
        <w:pStyle w:val="Standard"/>
        <w:widowControl w:val="false"/>
        <w:tabs>
          <w:tab w:val="left" w:pos="-2552" w:leader="none"/>
        </w:tabs>
        <w:ind w:left="1134" w:hanging="283"/>
        <w:jc w:val="both"/>
        <w:rPr>
          <w:color w:val="00000A"/>
        </w:rPr>
      </w:pPr>
      <w:r>
        <w:rPr>
          <w:rFonts w:cs="Trebuchet MS" w:ascii="Trebuchet MS" w:hAnsi="Trebuchet MS"/>
          <w:color w:val="00000A"/>
          <w:sz w:val="22"/>
        </w:rPr>
        <w:t>-</w:t>
        <w:tab/>
        <w:t xml:space="preserve">riqualificazione/riapertura di nuove connessioni per la </w:t>
      </w:r>
      <w:r>
        <w:rPr>
          <w:rFonts w:eastAsia="SimSun, 'Arial Unicode MS'" w:cs="Trebuchet MS" w:ascii="Trebuchet MS" w:hAnsi="Trebuchet MS"/>
          <w:color w:val="00000A"/>
          <w:sz w:val="22"/>
          <w:lang w:bidi="hi-IN"/>
        </w:rPr>
        <w:t>mobilità carrabile pubblica e privata finalizzati ad intercettare e semplificare i flussi a scala urbana.</w:t>
      </w:r>
    </w:p>
    <w:p>
      <w:pPr>
        <w:pStyle w:val="Standard"/>
        <w:widowControl w:val="false"/>
        <w:tabs>
          <w:tab w:val="left" w:pos="-2552" w:leader="none"/>
        </w:tabs>
        <w:ind w:left="1134" w:hanging="283"/>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283"/>
        <w:jc w:val="both"/>
        <w:rPr>
          <w:color w:val="00000A"/>
        </w:rPr>
      </w:pPr>
      <w:r>
        <w:rPr>
          <w:rFonts w:cs="Trebuchet MS" w:ascii="Trebuchet MS" w:hAnsi="Trebuchet MS"/>
          <w:i/>
          <w:iCs/>
          <w:color w:val="00000A"/>
          <w:sz w:val="22"/>
        </w:rPr>
        <w:t>-</w:t>
        <w:tab/>
        <w:t xml:space="preserve">interventi previsti </w:t>
      </w:r>
      <w:r>
        <w:rPr>
          <w:rFonts w:cs="Trebuchet MS" w:ascii="Trebuchet MS" w:hAnsi="Trebuchet MS"/>
          <w:i/>
          <w:iCs/>
          <w:color w:val="00000A"/>
          <w:sz w:val="22"/>
          <w:szCs w:val="22"/>
        </w:rPr>
        <w:t>nel sub-comparto ovest (“PRU_IP-1b”)</w:t>
      </w:r>
      <w:r>
        <w:rPr>
          <w:rFonts w:cs="Trebuchet MS" w:ascii="Trebuchet MS" w:hAnsi="Trebuchet MS"/>
          <w:i/>
          <w:iCs/>
          <w:color w:val="00000A"/>
          <w:sz w:val="22"/>
        </w:rPr>
        <w:t>:</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con interventi temporanei e a “bassa definizione”, degli ex magazzini logistici di via Gioia n. 24, da destinare allo svolgimento di attività sportive dilettantistiche e/o ad altre attività compatibili di interesse collettivo;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con interventi temporanei e a “bassa definizione”, degli ex magazzini logistici di via Gioia n. 22/a, da destinare a sede museale per l’esposizione di veicoli (moto ed auto) d’epoca e a laboratori didattici di piccola meccanica e/o ad altre attività compatibili di interesse collettivo;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con interventi temporanei e a “bassa definizione”, degli ex magazzini logistici di via Gioia n. 22/b, da destinare a centro teatrale e/o ad altre attività compatibili di interesse collettivo;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con interventi temporanei e a “bassa definizione”, degli ex magazzini logistici di via Gioia n. 22/c, da destinare allo svolgimento di attività sportive dilettantistiche e servizi educativi e/o ad altre attività compatibili di interesse collettivo;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con interventi temporanei e a “bassa definizione”, dell’ex mangimificio “Caffarri” di via Gioia n. 4, da destinare alla sede di attività sociali e laboratoriali nel campo della sostenibilità ambientale e creatività e/o ad altre attività compatibili di interesse collettivo;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con interventi temporanei e a “bassa definizione”, dell’ex discoteca “Maffia” di viale Ramazzini n. 35, da destinare a sede di progetti e servizi a favore di persone socialmente disagiate e/o ad altre attività compatibili di interesse collettivo;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dei fabbricati dell’ex deposito ferroviario di via Talami n. 7, con interventi di rigenerazione un magazzino potrà essere destinato a sede museale per l’esposizione di mezzi ferroviari d’epoca, a laboratori didattici di piccola meccanica e/o ad altre attività compatibili di interesse collettivo;</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riqualificazione e recupero funzionale delle aree esterne e degli altri magazzini dell’ex deposito ferroviario di via Talami che potranno essere oggetto di un intervento di rigenerazione finalizzato ad ospitare in via definitiva attività di interesse generale;</w:t>
      </w:r>
    </w:p>
    <w:p>
      <w:pPr>
        <w:pStyle w:val="Standard"/>
        <w:widowControl w:val="false"/>
        <w:ind w:left="1134" w:hanging="283"/>
        <w:jc w:val="both"/>
        <w:rPr>
          <w:color w:val="00000A"/>
        </w:rPr>
      </w:pPr>
      <w:r>
        <w:rPr>
          <w:rFonts w:cs="Trebuchet MS" w:ascii="Trebuchet MS" w:hAnsi="Trebuchet MS"/>
          <w:color w:val="00000A"/>
          <w:sz w:val="22"/>
        </w:rPr>
        <w:t>-</w:t>
        <w:tab/>
        <w:t>riqualificazione della viabilità di quartiere (</w:t>
      </w:r>
      <w:r>
        <w:rPr>
          <w:rFonts w:cs="Trebuchet MS" w:ascii="Trebuchet MS" w:hAnsi="Trebuchet MS"/>
          <w:color w:val="00000A"/>
          <w:sz w:val="22"/>
          <w:szCs w:val="22"/>
        </w:rPr>
        <w:t>via Gioia, via Talami, via Veneri sud e viale Ramazzini ovest) al fine sia di risolvere la cesura rappresentata dalla linea ferroviaria verso nord (con la riapertura dell’attraversamento “a raso”) che di aumentare la qualità fisica, funzionale, fruitiva e percettiva del quartiere e in particolare dello spazio pubblico che ne costituisce il tessuto connettivo, non solo infrastrutturale, ma anche relazionale</w:t>
      </w:r>
      <w:r>
        <w:rPr>
          <w:rFonts w:cs="Trebuchet MS" w:ascii="Trebuchet MS" w:hAnsi="Trebuchet MS"/>
          <w:bCs/>
          <w:color w:val="00000A"/>
          <w:sz w:val="22"/>
          <w:szCs w:val="22"/>
        </w:rPr>
        <w:t>.</w:t>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5</w:t>
        <w:tab/>
        <w:t>-</w:t>
        <w:tab/>
        <w:t>Contenuti della convenzione: interventi, destinazioni d’uso, indici e quantità di progetto del PRU</w:t>
      </w:r>
    </w:p>
    <w:p>
      <w:pPr>
        <w:pStyle w:val="Standard"/>
        <w:widowControl w:val="false"/>
        <w:spacing w:lineRule="atLeast" w:line="200"/>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567" w:hanging="567"/>
        <w:jc w:val="both"/>
        <w:rPr>
          <w:color w:val="00000A"/>
        </w:rPr>
      </w:pPr>
      <w:r>
        <w:rPr>
          <w:rFonts w:cs="Trebuchet MS" w:ascii="Trebuchet MS" w:hAnsi="Trebuchet MS"/>
          <w:b/>
          <w:bCs/>
          <w:color w:val="00000A"/>
          <w:sz w:val="22"/>
        </w:rPr>
        <w:t>1.</w:t>
      </w:r>
      <w:r>
        <w:rPr>
          <w:rFonts w:cs="Trebuchet MS" w:ascii="Trebuchet MS" w:hAnsi="Trebuchet MS"/>
          <w:color w:val="00000A"/>
          <w:sz w:val="22"/>
        </w:rPr>
        <w:tab/>
        <w:t xml:space="preserve">Le modalità attuative a cui ci si è conformati nella elaborazione </w:t>
      </w:r>
      <w:r>
        <w:rPr>
          <w:rStyle w:val="Enfasiforte"/>
          <w:rFonts w:cs="Trebuchet MS" w:ascii="Trebuchet MS" w:hAnsi="Trebuchet MS"/>
          <w:b w:val="false"/>
          <w:bCs w:val="false"/>
          <w:color w:val="00000A"/>
          <w:sz w:val="22"/>
          <w:szCs w:val="22"/>
        </w:rPr>
        <w:t xml:space="preserve">del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Style w:val="Enfasiforte"/>
          <w:rFonts w:cs="Trebuchet MS" w:ascii="Trebuchet MS" w:hAnsi="Trebuchet MS"/>
          <w:b w:val="false"/>
          <w:bCs w:val="false"/>
          <w:color w:val="00000A"/>
          <w:sz w:val="22"/>
          <w:szCs w:val="22"/>
        </w:rPr>
        <w:t xml:space="preserve"> sono state declinate </w:t>
      </w:r>
      <w:r>
        <w:rPr>
          <w:rFonts w:cs="Trebuchet MS" w:ascii="Trebuchet MS" w:hAnsi="Trebuchet MS"/>
          <w:color w:val="00000A"/>
          <w:sz w:val="22"/>
        </w:rPr>
        <w:t>in relazione ai principali ambiti territoriali di riferimento (Polo funzionale PF-4 e Ambito di riqualificazione AR-10) cui afferiscono i due sub-comparti (“PRU_IP-1a.bis” e “PRU_IP-1b”) che compongono il PRU.</w:t>
      </w:r>
    </w:p>
    <w:p>
      <w:pPr>
        <w:pStyle w:val="Standard"/>
        <w:widowControl w:val="false"/>
        <w:ind w:left="567" w:hanging="0"/>
        <w:jc w:val="both"/>
        <w:rPr>
          <w:rFonts w:ascii="Trebuchet MS" w:hAnsi="Trebuchet MS" w:cs="Trebuchet MS"/>
          <w:color w:val="00000A"/>
          <w:sz w:val="22"/>
        </w:rPr>
      </w:pPr>
      <w:r>
        <w:rPr>
          <w:rFonts w:cs="Trebuchet MS" w:ascii="Trebuchet MS" w:hAnsi="Trebuchet MS"/>
          <w:color w:val="00000A"/>
          <w:sz w:val="22"/>
        </w:rPr>
        <w:t>Di seguito si riportano gli indici e i parametri che regolano l’attuazione del PRU:</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t>-</w:t>
        <w:tab/>
        <w:t>Categorie di intervento ammesse</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t>-</w:t>
        <w:tab/>
        <w:t>Destinazioni d’uso ammesse</w:t>
      </w:r>
    </w:p>
    <w:p>
      <w:pPr>
        <w:pStyle w:val="Standard"/>
        <w:widowControl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t>-</w:t>
        <w:tab/>
        <w:t>Indici edificatori</w:t>
      </w:r>
    </w:p>
    <w:p>
      <w:pPr>
        <w:pStyle w:val="Standard"/>
        <w:widowControl w:val="false"/>
        <w:ind w:left="850" w:hanging="283"/>
        <w:jc w:val="both"/>
        <w:rPr>
          <w:color w:val="00000A"/>
        </w:rPr>
      </w:pPr>
      <w:r>
        <w:rPr>
          <w:rFonts w:cs="Trebuchet MS" w:ascii="Trebuchet MS" w:hAnsi="Trebuchet MS"/>
          <w:color w:val="00000A"/>
          <w:sz w:val="22"/>
          <w:szCs w:val="22"/>
        </w:rPr>
        <w:t>-</w:t>
        <w:tab/>
        <w:t>Quote di parcheggi pubblici (P2) e parcheggi pertinenziali (P1)</w:t>
      </w:r>
    </w:p>
    <w:p>
      <w:pPr>
        <w:pStyle w:val="Standard"/>
        <w:widowControl w:val="false"/>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567" w:hanging="0"/>
        <w:jc w:val="both"/>
        <w:rPr>
          <w:color w:val="00000A"/>
        </w:rPr>
      </w:pPr>
      <w:r>
        <w:rPr>
          <w:rFonts w:cs="Trebuchet MS" w:ascii="Trebuchet MS" w:hAnsi="Trebuchet MS"/>
          <w:color w:val="00000A"/>
          <w:sz w:val="22"/>
          <w:szCs w:val="22"/>
        </w:rPr>
        <w:t>Nel caso in cui i progetti esecutivi propongano diverse distribuzioni di spazi e destinazioni d’uso rispetto a quanto previsto nel progetto preliminare e definitivo, ogni soluzione è considerata congrua, conforme alla disciplina normativa e coerente con gli obiettivi individuati con il PRU dagli strumenti di pianificazione generale, purché siano rispettate le quantità minime di dotazioni territoriali, le potenzialità edificatorie ammesse e le destinazioni d’uso definite nella presente convenzione; in tal caso le modifiche proposte non comportano procedura di variante al PRU.</w:t>
      </w:r>
    </w:p>
    <w:p>
      <w:pPr>
        <w:pStyle w:val="Standard"/>
        <w:widowControl w:val="false"/>
        <w:ind w:left="850" w:hanging="283"/>
        <w:jc w:val="both"/>
        <w:rPr>
          <w:rFonts w:ascii="Trebuchet MS" w:hAnsi="Trebuchet MS" w:cs="Trebuchet MS"/>
          <w:color w:val="00000A"/>
        </w:rPr>
      </w:pPr>
      <w:r>
        <w:rPr>
          <w:rFonts w:cs="Trebuchet MS" w:ascii="Trebuchet MS" w:hAnsi="Trebuchet MS"/>
          <w:color w:val="00000A"/>
        </w:rPr>
      </w:r>
    </w:p>
    <w:p>
      <w:pPr>
        <w:pStyle w:val="Standard"/>
        <w:widowControl w:val="false"/>
        <w:ind w:left="567" w:hanging="567"/>
        <w:jc w:val="both"/>
        <w:rPr>
          <w:color w:val="00000A"/>
        </w:rPr>
      </w:pPr>
      <w:r>
        <w:rPr>
          <w:rFonts w:cs="Trebuchet MS" w:ascii="Trebuchet MS" w:hAnsi="Trebuchet MS"/>
          <w:b/>
          <w:color w:val="00000A"/>
          <w:sz w:val="22"/>
        </w:rPr>
        <w:t>2.</w:t>
        <w:tab/>
      </w:r>
      <w:r>
        <w:rPr>
          <w:rFonts w:cs="Trebuchet MS" w:ascii="Trebuchet MS" w:hAnsi="Trebuchet MS"/>
          <w:color w:val="00000A"/>
          <w:sz w:val="22"/>
        </w:rPr>
        <w:t>Il presente comma esplicita, esclusivamente per il sub-comparto “PRU_IP-1a.bis”, le categorie di intervento e le destinazioni d’uso ammesse, gli indici edificatori, le quote di parcheggi e le quote di dotazioni territoriali cui attenersi in fase di progetto.</w:t>
      </w:r>
    </w:p>
    <w:p>
      <w:pPr>
        <w:pStyle w:val="Standard"/>
        <w:widowControl w:val="false"/>
        <w:ind w:left="567" w:hanging="567"/>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283"/>
        <w:jc w:val="both"/>
        <w:rPr>
          <w:color w:val="00000A"/>
        </w:rPr>
      </w:pPr>
      <w:r>
        <w:rPr>
          <w:rFonts w:cs="Trebuchet MS" w:ascii="Trebuchet MS" w:hAnsi="Trebuchet MS"/>
          <w:color w:val="00000A"/>
        </w:rPr>
        <w:t>-</w:t>
        <w:tab/>
      </w:r>
      <w:r>
        <w:rPr>
          <w:rFonts w:eastAsia="SimSun, 'Arial Unicode MS'" w:cs="Trebuchet MS" w:ascii="Trebuchet MS" w:hAnsi="Trebuchet MS"/>
          <w:color w:val="00000A"/>
          <w:sz w:val="22"/>
          <w:szCs w:val="22"/>
          <w:u w:val="single"/>
          <w:lang w:bidi="hi-IN"/>
        </w:rPr>
        <w:t>Categorie di intervento ammesse nel “PRU_IP-1a.bis”</w:t>
      </w:r>
    </w:p>
    <w:p>
      <w:pPr>
        <w:pStyle w:val="Standard"/>
        <w:widowControl w:val="false"/>
        <w:ind w:left="850" w:hanging="0"/>
        <w:jc w:val="both"/>
        <w:rPr>
          <w:color w:val="00000A"/>
        </w:rPr>
      </w:pPr>
      <w:r>
        <w:rPr>
          <w:rFonts w:cs="Trebuchet MS" w:ascii="Trebuchet MS" w:hAnsi="Trebuchet MS"/>
          <w:color w:val="00000A"/>
          <w:sz w:val="22"/>
        </w:rPr>
        <w:t>Nell’ambito del “PRU_IP-1a.bis” è possibile attuare ogni tipo di intervento previsto nel Capo 1.5 delle NdA del RUE.</w:t>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850" w:hanging="283"/>
        <w:jc w:val="both"/>
        <w:rPr>
          <w:color w:val="00000A"/>
        </w:rPr>
      </w:pPr>
      <w:r>
        <w:rPr>
          <w:rFonts w:cs="Trebuchet MS" w:ascii="Trebuchet MS" w:hAnsi="Trebuchet MS"/>
          <w:color w:val="00000A"/>
          <w:sz w:val="22"/>
          <w:szCs w:val="22"/>
        </w:rPr>
        <w:t>-</w:t>
        <w:tab/>
      </w:r>
      <w:r>
        <w:rPr>
          <w:rFonts w:cs="Trebuchet MS" w:ascii="Trebuchet MS" w:hAnsi="Trebuchet MS"/>
          <w:color w:val="00000A"/>
          <w:sz w:val="22"/>
          <w:u w:val="single"/>
        </w:rPr>
        <w:t>Destinazioni d’uso ammesse</w:t>
      </w:r>
      <w:r>
        <w:rPr>
          <w:rFonts w:eastAsia="SimSun, 'Arial Unicode MS'" w:cs="Trebuchet MS" w:ascii="Trebuchet MS" w:hAnsi="Trebuchet MS"/>
          <w:color w:val="00000A"/>
          <w:sz w:val="22"/>
          <w:szCs w:val="22"/>
          <w:u w:val="single"/>
          <w:lang w:bidi="hi-IN"/>
        </w:rPr>
        <w:t xml:space="preserve"> nel “PRU_IP-1a.bis”</w:t>
      </w:r>
    </w:p>
    <w:p>
      <w:pPr>
        <w:pStyle w:val="Standard"/>
        <w:widowControl w:val="false"/>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pacing w:lineRule="atLeast" w:line="200"/>
        <w:ind w:left="850" w:hanging="0"/>
        <w:jc w:val="both"/>
        <w:rPr>
          <w:color w:val="00000A"/>
        </w:rPr>
      </w:pPr>
      <w:r>
        <w:rPr>
          <w:rFonts w:cs="Trebuchet MS" w:ascii="Trebuchet MS" w:hAnsi="Trebuchet MS"/>
          <w:color w:val="00000A"/>
          <w:sz w:val="22"/>
          <w:szCs w:val="22"/>
        </w:rPr>
        <w:t>Le destinazioni d’uso ammesse nel “PRU_IP-1a.bis” sono conformi a quelle previste per il Polo funzionale PF-4 dall’art. 5.8 delle NdA del PSC e dal relativo Accordo territoriale, così come specificato nell’Accordo territoriale integrativo (Allegato 1 al PRU) sottoscritto tra Comune e Provincia di Reggio Emilia. Le destinazioni d’uso ammesse, nel seguito meglio specificate sono le seguenti:</w:t>
      </w:r>
    </w:p>
    <w:p>
      <w:pPr>
        <w:pStyle w:val="Standard"/>
        <w:widowControl w:val="false"/>
        <w:spacing w:lineRule="atLeast" w:line="200"/>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quote di residenza (collettiva, non turistica);</w:t>
      </w:r>
    </w:p>
    <w:p>
      <w:pPr>
        <w:pStyle w:val="Standard"/>
        <w:widowControl w:val="false"/>
        <w:spacing w:lineRule="atLeast" w:line="200"/>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attività terziarie, culturali e di servizio;</w:t>
      </w:r>
    </w:p>
    <w:p>
      <w:pPr>
        <w:pStyle w:val="Standard"/>
        <w:widowControl w:val="false"/>
        <w:spacing w:lineRule="atLeast" w:line="200"/>
        <w:ind w:left="1134" w:hanging="283"/>
        <w:jc w:val="both"/>
        <w:rPr>
          <w:color w:val="00000A"/>
        </w:rPr>
      </w:pPr>
      <w:r>
        <w:rPr>
          <w:rFonts w:cs="Trebuchet MS" w:ascii="Trebuchet MS" w:hAnsi="Trebuchet MS"/>
          <w:color w:val="00000A"/>
          <w:sz w:val="22"/>
          <w:szCs w:val="22"/>
        </w:rPr>
        <w:t>-</w:t>
        <w:tab/>
        <w:t>attività di ricerca, con laboratori, incubatori e spin-off di imprese per lo sviluppo di progetti finalizzati al trasferimento tecnologico, all’innovazione del territorio e dell’economia reggiana;</w:t>
      </w:r>
    </w:p>
    <w:p>
      <w:pPr>
        <w:pStyle w:val="Standard"/>
        <w:widowControl w:val="false"/>
        <w:spacing w:lineRule="atLeast" w:line="200"/>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attività a servizio della mobilità e dell’interscambio;</w:t>
      </w:r>
    </w:p>
    <w:p>
      <w:pPr>
        <w:pStyle w:val="Standard"/>
        <w:widowControl w:val="false"/>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attività produttive compatibili.</w:t>
      </w:r>
    </w:p>
    <w:p>
      <w:pPr>
        <w:pStyle w:val="Standard"/>
        <w:widowControl w:val="false"/>
        <w:ind w:left="1134" w:hanging="283"/>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pacing w:lineRule="atLeast" w:line="200"/>
        <w:ind w:left="850" w:hanging="0"/>
        <w:jc w:val="both"/>
        <w:rPr>
          <w:color w:val="00000A"/>
        </w:rPr>
      </w:pPr>
      <w:r>
        <w:rPr>
          <w:rFonts w:cs="Trebuchet MS" w:ascii="Trebuchet MS" w:hAnsi="Trebuchet MS"/>
          <w:color w:val="00000A"/>
          <w:sz w:val="22"/>
          <w:szCs w:val="22"/>
        </w:rPr>
        <w:t>Nello specifico il piano stabilisce che nel sub-comparto “PRU_IP-1a.bis” sia possibile insediare le seguenti funzioni di cui all’art. 1.6.1 delle NdA del RUE:</w:t>
      </w:r>
    </w:p>
    <w:p>
      <w:pPr>
        <w:pStyle w:val="Standard"/>
        <w:widowControl w:val="false"/>
        <w:spacing w:lineRule="atLeast" w:line="200"/>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funzioni residenziali di cui alla lettera A), limitatamente alla residenza collettiva (non turistica) di cui alla lettera a2;</w:t>
      </w:r>
    </w:p>
    <w:p>
      <w:pPr>
        <w:pStyle w:val="Standard"/>
        <w:widowControl w:val="false"/>
        <w:spacing w:lineRule="atLeast" w:line="200"/>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funzioni di servizio e terziarie e attività a servizio della mobilità e dell’interscambio di cui alla lettera B), con riferimento alle seguenti attività: b1, b2, b3, b4, b5, b6, b8, b10.1, b10.3, b10.4, b13, b14, b16;</w:t>
      </w:r>
    </w:p>
    <w:p>
      <w:pPr>
        <w:pStyle w:val="Standard"/>
        <w:widowControl w:val="false"/>
        <w:spacing w:lineRule="atLeast" w:line="200"/>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funzioni produttive manifatturiere e assimilabili di cui alla lettera C), limitatamente alle attività manifatturiere industriali o artigianali di cui alla lettera c1 e limitatamente alle mostre, magazzini e depositi di cui alla lettera c3; la residenza connessa alle attività insediate è ammessa limitatamente ad un alloggio pertinenziale per ciascuna unità edilizia (lotto), nella dimensione massima di 175 mq di Sc e comunque in misura non eccedente il 20% della Sc dell’unità produttiva.</w:t>
      </w:r>
    </w:p>
    <w:p>
      <w:pPr>
        <w:pStyle w:val="Standard"/>
        <w:widowControl w:val="false"/>
        <w:ind w:left="1134" w:hanging="283"/>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pacing w:lineRule="atLeast" w:line="198"/>
        <w:ind w:left="850" w:hanging="0"/>
        <w:jc w:val="both"/>
        <w:rPr>
          <w:rFonts w:ascii="Trebuchet MS" w:hAnsi="Trebuchet MS" w:cs="Trebuchet MS"/>
          <w:color w:val="00000A"/>
          <w:sz w:val="22"/>
          <w:szCs w:val="22"/>
        </w:rPr>
      </w:pPr>
      <w:r>
        <w:rPr>
          <w:rFonts w:cs="Trebuchet MS" w:ascii="Trebuchet MS" w:hAnsi="Trebuchet MS"/>
          <w:color w:val="00000A"/>
          <w:sz w:val="22"/>
          <w:szCs w:val="22"/>
        </w:rPr>
        <w:t>Le funzioni da insediare dovranno essere compatibili con il progetto di bonifica ambientale dell’area autorizzato all’interno del procedimento di cui all’art. 242 del DLgs 152/2006 e dovranno essere conformi con la vigente disciplina del Piano di Rischio Aeroportuale (PdRA).</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850" w:hanging="283"/>
        <w:jc w:val="both"/>
        <w:rPr>
          <w:color w:val="00000A"/>
        </w:rPr>
      </w:pPr>
      <w:r>
        <w:rPr>
          <w:rFonts w:cs="Trebuchet MS" w:ascii="Trebuchet MS" w:hAnsi="Trebuchet MS"/>
          <w:color w:val="00000A"/>
          <w:sz w:val="22"/>
          <w:szCs w:val="22"/>
        </w:rPr>
        <w:t>-</w:t>
        <w:tab/>
      </w:r>
      <w:r>
        <w:rPr>
          <w:rFonts w:eastAsia="SimSun, 'Arial Unicode MS'" w:cs="Trebuchet MS" w:ascii="Trebuchet MS" w:hAnsi="Trebuchet MS"/>
          <w:color w:val="00000A"/>
          <w:sz w:val="22"/>
          <w:szCs w:val="22"/>
          <w:u w:val="single"/>
          <w:lang w:bidi="hi-IN"/>
        </w:rPr>
        <w:t>Indici edificatori del “PRU_IP-1a.bis”</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tabs>
          <w:tab w:val="left" w:pos="6430" w:leader="none"/>
        </w:tabs>
        <w:ind w:left="850" w:hanging="0"/>
        <w:jc w:val="both"/>
        <w:rPr>
          <w:color w:val="00000A"/>
        </w:rPr>
      </w:pPr>
      <w:r>
        <w:rPr>
          <w:rFonts w:cs="Trebuchet MS" w:ascii="Trebuchet MS" w:hAnsi="Trebuchet MS"/>
          <w:color w:val="00000A"/>
          <w:sz w:val="22"/>
          <w:szCs w:val="14"/>
        </w:rPr>
        <w:t xml:space="preserve">Il </w:t>
      </w:r>
      <w:r>
        <w:rPr>
          <w:rFonts w:eastAsia="SimSun, 'Arial Unicode MS'" w:cs="Trebuchet MS" w:ascii="Trebuchet MS" w:hAnsi="Trebuchet MS"/>
          <w:color w:val="00000A"/>
          <w:sz w:val="22"/>
          <w:szCs w:val="22"/>
          <w:lang w:bidi="hi-IN"/>
        </w:rPr>
        <w:t>“PRU_IP-1a.bis”</w:t>
      </w:r>
      <w:r>
        <w:rPr>
          <w:rFonts w:cs="Trebuchet MS" w:ascii="Trebuchet MS" w:hAnsi="Trebuchet MS"/>
          <w:color w:val="00000A"/>
          <w:sz w:val="22"/>
          <w:szCs w:val="14"/>
        </w:rPr>
        <w:t xml:space="preserve"> si attua in conformità ai seguenti indici e parametri (in linea con i parametri degli Ambiti Specializzati per nuovi insediamenti produttivi ASP-N definiti dal PSC).</w:t>
      </w:r>
    </w:p>
    <w:p>
      <w:pPr>
        <w:pStyle w:val="Standard"/>
        <w:widowControl w:val="false"/>
        <w:tabs>
          <w:tab w:val="left" w:pos="6430" w:leader="none"/>
        </w:tabs>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tabs>
          <w:tab w:val="left" w:pos="7936" w:leader="none"/>
          <w:tab w:val="left" w:pos="14114" w:leader="none"/>
          <w:tab w:val="left" w:pos="14460" w:leader="none"/>
        </w:tabs>
        <w:ind w:left="6803" w:hanging="5953"/>
        <w:jc w:val="both"/>
        <w:rPr>
          <w:rFonts w:ascii="Trebuchet MS" w:hAnsi="Trebuchet MS" w:cs="Trebuchet MS"/>
          <w:color w:val="00000A"/>
          <w:sz w:val="22"/>
        </w:rPr>
      </w:pPr>
      <w:r>
        <w:rPr>
          <w:rFonts w:cs="Trebuchet MS" w:ascii="Trebuchet MS" w:hAnsi="Trebuchet MS"/>
          <w:color w:val="00000A"/>
          <w:sz w:val="22"/>
        </w:rPr>
        <w:t>-</w:t>
        <w:tab/>
        <w:t>Superficie complessiva (Sc) massima realizzabile</w:t>
        <w:tab/>
        <w:t>Sc</w:t>
        <w:tab/>
        <w:t>=</w:t>
        <w:tab/>
        <w:t>0,4 mq Sc/mq di St</w:t>
      </w:r>
    </w:p>
    <w:p>
      <w:pPr>
        <w:pStyle w:val="Standard"/>
        <w:widowControl w:val="false"/>
        <w:tabs>
          <w:tab w:val="left" w:pos="7936" w:leader="none"/>
          <w:tab w:val="left" w:pos="14114" w:leader="none"/>
          <w:tab w:val="left" w:pos="14460" w:leader="none"/>
        </w:tabs>
        <w:ind w:left="6803" w:hanging="5953"/>
        <w:jc w:val="both"/>
        <w:rPr>
          <w:color w:val="00000A"/>
        </w:rPr>
      </w:pPr>
      <w:r>
        <w:rPr>
          <w:rFonts w:cs="Trebuchet MS" w:ascii="Trebuchet MS" w:hAnsi="Trebuchet MS"/>
          <w:color w:val="00000A"/>
          <w:sz w:val="22"/>
        </w:rPr>
        <w:t>-</w:t>
        <w:tab/>
        <w:t xml:space="preserve">Ripartizione funzionale </w:t>
      </w:r>
      <w:r>
        <w:rPr>
          <w:rFonts w:cs="Trebuchet MS" w:ascii="Trebuchet MS" w:hAnsi="Trebuchet MS"/>
          <w:color w:val="00000A"/>
          <w:sz w:val="12"/>
          <w:szCs w:val="12"/>
        </w:rPr>
        <w:t xml:space="preserve">(Aree per il verde pubblico e attrezzature e spazi collettivi) </w:t>
      </w:r>
      <w:r>
        <w:rPr>
          <w:rFonts w:cs="Trebuchet MS" w:ascii="Trebuchet MS" w:hAnsi="Trebuchet MS"/>
          <w:color w:val="00000A"/>
          <w:sz w:val="22"/>
        </w:rPr>
        <w:tab/>
        <w:t>SVP</w:t>
        <w:tab/>
        <w:t>=</w:t>
        <w:tab/>
        <w:t>25% St</w:t>
      </w:r>
    </w:p>
    <w:p>
      <w:pPr>
        <w:pStyle w:val="Standard"/>
        <w:widowControl w:val="false"/>
        <w:tabs>
          <w:tab w:val="left" w:pos="7936" w:leader="none"/>
          <w:tab w:val="left" w:pos="14114" w:leader="none"/>
          <w:tab w:val="left" w:pos="14460" w:leader="none"/>
        </w:tabs>
        <w:ind w:left="6803" w:hanging="5953"/>
        <w:jc w:val="both"/>
        <w:rPr>
          <w:rFonts w:ascii="Trebuchet MS" w:hAnsi="Trebuchet MS" w:cs="Trebuchet MS"/>
          <w:color w:val="00000A"/>
          <w:sz w:val="22"/>
        </w:rPr>
      </w:pPr>
      <w:r>
        <w:rPr>
          <w:rFonts w:cs="Trebuchet MS" w:ascii="Trebuchet MS" w:hAnsi="Trebuchet MS"/>
          <w:color w:val="00000A"/>
          <w:sz w:val="22"/>
        </w:rPr>
        <w:t>-</w:t>
        <w:tab/>
        <w:t>Indice arboreo</w:t>
        <w:tab/>
        <w:t>A</w:t>
        <w:tab/>
        <w:t>=</w:t>
        <w:tab/>
        <w:t>30 alberi/ha</w:t>
      </w:r>
    </w:p>
    <w:p>
      <w:pPr>
        <w:pStyle w:val="Standard"/>
        <w:widowControl w:val="false"/>
        <w:tabs>
          <w:tab w:val="left" w:pos="7936" w:leader="none"/>
          <w:tab w:val="left" w:pos="14114" w:leader="none"/>
          <w:tab w:val="left" w:pos="14460" w:leader="none"/>
        </w:tabs>
        <w:ind w:left="6803" w:hanging="5953"/>
        <w:jc w:val="both"/>
        <w:rPr>
          <w:rFonts w:ascii="Trebuchet MS" w:hAnsi="Trebuchet MS" w:cs="Trebuchet MS"/>
          <w:color w:val="00000A"/>
          <w:sz w:val="22"/>
        </w:rPr>
      </w:pPr>
      <w:r>
        <w:rPr>
          <w:rFonts w:cs="Trebuchet MS" w:ascii="Trebuchet MS" w:hAnsi="Trebuchet MS"/>
          <w:color w:val="00000A"/>
          <w:sz w:val="22"/>
        </w:rPr>
        <w:t>-</w:t>
        <w:tab/>
        <w:t>Indice arbustivo</w:t>
        <w:tab/>
        <w:t>Ar</w:t>
        <w:tab/>
        <w:t>=</w:t>
        <w:tab/>
        <w:t>40 arbusti/ha</w:t>
      </w:r>
    </w:p>
    <w:p>
      <w:pPr>
        <w:pStyle w:val="Standard"/>
        <w:widowControl w:val="false"/>
        <w:tabs>
          <w:tab w:val="left" w:pos="7483" w:leader="none"/>
          <w:tab w:val="left" w:pos="13158" w:leader="none"/>
          <w:tab w:val="left" w:pos="13441" w:leader="none"/>
        </w:tabs>
        <w:ind w:left="6350" w:hanging="5499"/>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La realizzazione di quota parte di dotazione di opere di U1 e U2 eccedente lo standard minimo sarà funzionale alla dotazione complessiva di U1 e U2 per l’intero ambito ovvero per gli stralci attuativi successivi.</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La seguente tabella definisce il dimensionamento del piano in rapporto ai parametri urbanistici ed edilizi:</w:t>
      </w:r>
    </w:p>
    <w:p>
      <w:pPr>
        <w:pStyle w:val="Standard"/>
        <w:widowControl w:val="false"/>
        <w:ind w:left="850" w:hanging="0"/>
        <w:jc w:val="both"/>
        <w:rPr>
          <w:rFonts w:ascii="Trebuchet MS" w:hAnsi="Trebuchet MS" w:cs="Trebuchet MS"/>
          <w:color w:val="00000A"/>
          <w:sz w:val="14"/>
          <w:szCs w:val="14"/>
        </w:rPr>
      </w:pPr>
      <w:r>
        <w:rPr>
          <w:rFonts w:cs="Trebuchet MS" w:ascii="Trebuchet MS" w:hAnsi="Trebuchet MS"/>
          <w:color w:val="00000A"/>
          <w:sz w:val="14"/>
          <w:szCs w:val="14"/>
        </w:rPr>
      </w:r>
    </w:p>
    <w:tbl>
      <w:tblPr>
        <w:tblW w:w="8958" w:type="dxa"/>
        <w:jc w:val="left"/>
        <w:tblInd w:w="894" w:type="dxa"/>
        <w:tblBorders/>
        <w:tblCellMar>
          <w:top w:w="55" w:type="dxa"/>
          <w:left w:w="55" w:type="dxa"/>
          <w:bottom w:w="55" w:type="dxa"/>
          <w:right w:w="55" w:type="dxa"/>
        </w:tblCellMar>
        <w:tblLook w:firstRow="0" w:noVBand="0" w:lastRow="0" w:firstColumn="0" w:lastColumn="0" w:noHBand="0" w:val="0000"/>
      </w:tblPr>
      <w:tblGrid>
        <w:gridCol w:w="6745"/>
        <w:gridCol w:w="566"/>
        <w:gridCol w:w="1647"/>
      </w:tblGrid>
      <w:tr>
        <w:trPr>
          <w:trHeight w:val="567" w:hRule="atLeast"/>
        </w:trPr>
        <w:tc>
          <w:tcPr>
            <w:tcW w:w="6745" w:type="dxa"/>
            <w:tcBorders/>
            <w:shd w:color="auto" w:fill="auto" w:val="clear"/>
            <w:vAlign w:val="center"/>
          </w:tcPr>
          <w:p>
            <w:pPr>
              <w:pStyle w:val="Standard"/>
              <w:widowControl w:val="false"/>
              <w:tabs>
                <w:tab w:val="left" w:pos="5580" w:leader="none"/>
              </w:tabs>
              <w:jc w:val="both"/>
              <w:rPr>
                <w:color w:val="00000A"/>
              </w:rPr>
            </w:pPr>
            <w:r>
              <w:rPr>
                <w:rFonts w:cs="Trebuchet MS" w:ascii="Trebuchet MS" w:hAnsi="Trebuchet MS"/>
                <w:color w:val="00000A"/>
                <w:sz w:val="22"/>
                <w:szCs w:val="22"/>
              </w:rPr>
              <w:t xml:space="preserve">St </w:t>
            </w:r>
            <w:r>
              <w:rPr>
                <w:rFonts w:cs="Trebuchet MS" w:ascii="Trebuchet MS" w:hAnsi="Trebuchet MS"/>
                <w:color w:val="00000A"/>
                <w:sz w:val="12"/>
                <w:szCs w:val="12"/>
              </w:rPr>
              <w:t>(Superficie territoriale)</w:t>
            </w:r>
            <w:r>
              <w:rPr>
                <w:rFonts w:cs="Trebuchet MS" w:ascii="Trebuchet MS" w:hAnsi="Trebuchet MS"/>
                <w:color w:val="00000A"/>
                <w:sz w:val="22"/>
                <w:szCs w:val="22"/>
              </w:rPr>
              <w:t xml:space="preserve"> del “</w:t>
            </w:r>
            <w:r>
              <w:rPr>
                <w:rStyle w:val="Enfasiforte"/>
                <w:rFonts w:cs="Trebuchet MS" w:ascii="Trebuchet MS" w:hAnsi="Trebuchet MS"/>
                <w:b w:val="false"/>
                <w:bCs w:val="false"/>
                <w:color w:val="00000A"/>
                <w:sz w:val="22"/>
                <w:szCs w:val="22"/>
              </w:rPr>
              <w:t>PRU_IP-1a.bis”</w:t>
            </w:r>
          </w:p>
        </w:tc>
        <w:tc>
          <w:tcPr>
            <w:tcW w:w="566" w:type="dxa"/>
            <w:tcBorders/>
            <w:shd w:color="auto" w:fill="auto" w:val="clear"/>
            <w:vAlign w:val="center"/>
          </w:tcPr>
          <w:p>
            <w:pPr>
              <w:pStyle w:val="Standard"/>
              <w:tabs>
                <w:tab w:val="left" w:pos="360" w:leader="none"/>
              </w:tabs>
              <w:snapToGrid w:val="false"/>
              <w:ind w:left="180" w:hanging="180"/>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color w:val="00000A"/>
              </w:rPr>
            </w:pPr>
            <w:r>
              <w:rPr>
                <w:rFonts w:cs="Trebuchet MS" w:ascii="Trebuchet MS" w:hAnsi="Trebuchet MS"/>
                <w:color w:val="00000A"/>
                <w:sz w:val="22"/>
                <w:szCs w:val="22"/>
              </w:rPr>
              <w:t>148.204 mq</w:t>
            </w:r>
            <w:r>
              <w:rPr>
                <w:rFonts w:cs="Trebuchet MS" w:ascii="Trebuchet MS" w:hAnsi="Trebuchet MS"/>
                <w:color w:val="00000A"/>
                <w:sz w:val="22"/>
                <w:szCs w:val="22"/>
                <w:vertAlign w:val="superscript"/>
              </w:rPr>
              <w:t xml:space="preserve"> (*)</w:t>
            </w:r>
          </w:p>
        </w:tc>
      </w:tr>
      <w:tr>
        <w:trPr>
          <w:trHeight w:val="57" w:hRule="atLeast"/>
        </w:trPr>
        <w:tc>
          <w:tcPr>
            <w:tcW w:w="6745" w:type="dxa"/>
            <w:tcBorders/>
            <w:shd w:color="auto" w:fill="auto" w:val="clear"/>
            <w:vAlign w:val="center"/>
          </w:tcPr>
          <w:p>
            <w:pPr>
              <w:pStyle w:val="Standard"/>
              <w:tabs>
                <w:tab w:val="left" w:pos="180" w:leader="none"/>
                <w:tab w:val="left" w:pos="5580" w:leader="none"/>
              </w:tabs>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566" w:type="dxa"/>
            <w:tcBorders/>
            <w:shd w:color="auto" w:fill="auto" w:val="clear"/>
            <w:vAlign w:val="center"/>
          </w:tcPr>
          <w:p>
            <w:pPr>
              <w:pStyle w:val="Standard"/>
              <w:tabs>
                <w:tab w:val="left" w:pos="180" w:leader="none"/>
                <w:tab w:val="left" w:pos="5580" w:leader="none"/>
              </w:tabs>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1647" w:type="dxa"/>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r>
      <w:tr>
        <w:trPr>
          <w:trHeight w:val="57" w:hRule="atLeast"/>
        </w:trPr>
        <w:tc>
          <w:tcPr>
            <w:tcW w:w="6745" w:type="dxa"/>
            <w:tcBorders>
              <w:top w:val="single" w:sz="2" w:space="0" w:color="000001"/>
            </w:tcBorders>
            <w:shd w:color="auto" w:fill="auto" w:val="clear"/>
            <w:vAlign w:val="center"/>
          </w:tcPr>
          <w:p>
            <w:pPr>
              <w:pStyle w:val="Standard"/>
              <w:tabs>
                <w:tab w:val="left" w:pos="180" w:leader="none"/>
                <w:tab w:val="left" w:pos="5580" w:leader="none"/>
              </w:tabs>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566" w:type="dxa"/>
            <w:tcBorders>
              <w:top w:val="single" w:sz="2" w:space="0" w:color="000001"/>
            </w:tcBorders>
            <w:shd w:color="auto" w:fill="auto" w:val="clear"/>
            <w:vAlign w:val="center"/>
          </w:tcPr>
          <w:p>
            <w:pPr>
              <w:pStyle w:val="Standard"/>
              <w:tabs>
                <w:tab w:val="left" w:pos="180" w:leader="none"/>
                <w:tab w:val="left" w:pos="5580" w:leader="none"/>
              </w:tabs>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1647" w:type="dxa"/>
            <w:tcBorders>
              <w:top w:val="single" w:sz="2" w:space="0" w:color="000001"/>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r>
      <w:tr>
        <w:trPr>
          <w:trHeight w:val="567" w:hRule="atLeast"/>
        </w:trPr>
        <w:tc>
          <w:tcPr>
            <w:tcW w:w="6745" w:type="dxa"/>
            <w:tcBorders/>
            <w:shd w:color="auto" w:fill="auto" w:val="clear"/>
            <w:vAlign w:val="center"/>
          </w:tcPr>
          <w:p>
            <w:pPr>
              <w:pStyle w:val="Standard"/>
              <w:tabs>
                <w:tab w:val="left" w:pos="180" w:leader="none"/>
                <w:tab w:val="left" w:pos="5580" w:leader="none"/>
              </w:tabs>
              <w:jc w:val="both"/>
              <w:rPr>
                <w:color w:val="00000A"/>
              </w:rPr>
            </w:pPr>
            <w:r>
              <w:rPr>
                <w:rFonts w:cs="Trebuchet MS" w:ascii="Trebuchet MS" w:hAnsi="Trebuchet MS"/>
                <w:color w:val="00000A"/>
                <w:sz w:val="22"/>
                <w:szCs w:val="22"/>
              </w:rPr>
              <w:t xml:space="preserve">Sc </w:t>
            </w:r>
            <w:r>
              <w:rPr>
                <w:rFonts w:cs="Trebuchet MS" w:ascii="Trebuchet MS" w:hAnsi="Trebuchet MS"/>
                <w:color w:val="00000A"/>
                <w:sz w:val="12"/>
                <w:szCs w:val="12"/>
              </w:rPr>
              <w:t>(Superficie complessiva)</w:t>
            </w:r>
            <w:r>
              <w:rPr>
                <w:rFonts w:cs="Trebuchet MS" w:ascii="Trebuchet MS" w:hAnsi="Trebuchet MS"/>
                <w:color w:val="00000A"/>
                <w:sz w:val="22"/>
                <w:szCs w:val="22"/>
              </w:rPr>
              <w:t xml:space="preserve"> massima realizzabile “</w:t>
            </w:r>
            <w:r>
              <w:rPr>
                <w:rStyle w:val="Enfasiforte"/>
                <w:rFonts w:cs="Trebuchet MS" w:ascii="Trebuchet MS" w:hAnsi="Trebuchet MS"/>
                <w:b w:val="false"/>
                <w:bCs w:val="false"/>
                <w:color w:val="00000A"/>
                <w:sz w:val="22"/>
                <w:szCs w:val="22"/>
              </w:rPr>
              <w:t>PRU_IP-1a.bis”</w:t>
            </w:r>
          </w:p>
          <w:p>
            <w:pPr>
              <w:pStyle w:val="Standard"/>
              <w:tabs>
                <w:tab w:val="left" w:pos="180" w:leader="none"/>
                <w:tab w:val="left" w:pos="5580" w:leader="none"/>
              </w:tabs>
              <w:jc w:val="both"/>
              <w:rPr>
                <w:color w:val="00000A"/>
              </w:rPr>
            </w:pPr>
            <w:r>
              <w:rPr>
                <w:rStyle w:val="Enfasiforte"/>
                <w:rFonts w:cs="Trebuchet MS" w:ascii="Trebuchet MS" w:hAnsi="Trebuchet MS"/>
                <w:b w:val="false"/>
                <w:bCs w:val="false"/>
                <w:color w:val="00000A"/>
                <w:sz w:val="16"/>
                <w:szCs w:val="16"/>
              </w:rPr>
              <w:t>(0,4 mq Sc/mq St)</w:t>
            </w:r>
          </w:p>
        </w:tc>
        <w:tc>
          <w:tcPr>
            <w:tcW w:w="566" w:type="dxa"/>
            <w:tcBorders/>
            <w:shd w:color="auto" w:fill="auto" w:val="clear"/>
            <w:vAlign w:val="center"/>
          </w:tcPr>
          <w:p>
            <w:pPr>
              <w:pStyle w:val="Standard"/>
              <w:tabs>
                <w:tab w:val="left" w:pos="360" w:leader="none"/>
              </w:tabs>
              <w:snapToGrid w:val="false"/>
              <w:ind w:left="180" w:hanging="180"/>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59.282 mq</w:t>
            </w:r>
          </w:p>
        </w:tc>
      </w:tr>
      <w:tr>
        <w:trPr>
          <w:trHeight w:val="567" w:hRule="atLeast"/>
        </w:trPr>
        <w:tc>
          <w:tcPr>
            <w:tcW w:w="6745" w:type="dxa"/>
            <w:tcBorders/>
            <w:shd w:color="auto" w:fill="auto" w:val="clear"/>
            <w:vAlign w:val="center"/>
          </w:tcPr>
          <w:p>
            <w:pPr>
              <w:pStyle w:val="Contenutotabella"/>
              <w:tabs>
                <w:tab w:val="left" w:pos="180" w:leader="none"/>
                <w:tab w:val="left" w:pos="5580" w:leader="none"/>
              </w:tabs>
              <w:jc w:val="both"/>
              <w:rPr>
                <w:color w:val="00000A"/>
              </w:rPr>
            </w:pPr>
            <w:r>
              <w:rPr>
                <w:rFonts w:eastAsia="SimSun, 'Arial Unicode MS'" w:cs="Trebuchet MS" w:ascii="Trebuchet MS" w:hAnsi="Trebuchet MS"/>
                <w:color w:val="00000A"/>
                <w:sz w:val="22"/>
                <w:szCs w:val="22"/>
                <w:lang w:bidi="hi-IN"/>
              </w:rPr>
              <w:t xml:space="preserve">Sc esistente </w:t>
            </w:r>
            <w:r>
              <w:rPr>
                <w:rStyle w:val="Enfasiforte"/>
                <w:rFonts w:cs="Trebuchet MS" w:ascii="Trebuchet MS" w:hAnsi="Trebuchet MS"/>
                <w:b w:val="false"/>
                <w:bCs w:val="false"/>
                <w:color w:val="00000A"/>
                <w:sz w:val="22"/>
                <w:szCs w:val="22"/>
              </w:rPr>
              <w:t xml:space="preserve">“PRU_IP-1a.bis” </w:t>
            </w:r>
            <w:r>
              <w:rPr>
                <w:rStyle w:val="Enfasiforte"/>
                <w:rFonts w:eastAsia="SimSun, 'Arial Unicode MS'" w:cs="Trebuchet MS" w:ascii="Trebuchet MS" w:hAnsi="Trebuchet MS"/>
                <w:b w:val="false"/>
                <w:bCs w:val="false"/>
                <w:color w:val="00000A"/>
                <w:sz w:val="22"/>
                <w:szCs w:val="22"/>
                <w:lang w:bidi="hi-IN"/>
              </w:rPr>
              <w:t>(stato di fatto)</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(5.136 mq C17 + 6.605 mq C18 + 4.405 mq C15a + 10.450 mq C15b e C15c)</w:t>
            </w:r>
          </w:p>
        </w:tc>
        <w:tc>
          <w:tcPr>
            <w:tcW w:w="566" w:type="dxa"/>
            <w:tcBorders/>
            <w:shd w:color="auto" w:fill="auto" w:val="clear"/>
            <w:vAlign w:val="center"/>
          </w:tcPr>
          <w:p>
            <w:pPr>
              <w:pStyle w:val="Contenutotabella"/>
              <w:widowControl w:val="false"/>
              <w:tabs>
                <w:tab w:val="left" w:pos="180" w:leader="none"/>
              </w:tabs>
              <w:snapToGrid w:val="false"/>
              <w:jc w:val="both"/>
              <w:rPr>
                <w:rFonts w:ascii="Trebuchet MS" w:hAnsi="Trebuchet MS" w:cs="Trebuchet MS"/>
                <w:color w:val="00000A"/>
              </w:rPr>
            </w:pPr>
            <w:r>
              <w:rPr>
                <w:rFonts w:cs="Trebuchet MS" w:ascii="Trebuchet MS" w:hAnsi="Trebuchet MS"/>
                <w:color w:val="00000A"/>
              </w:rPr>
            </w:r>
          </w:p>
        </w:tc>
        <w:tc>
          <w:tcPr>
            <w:tcW w:w="1647" w:type="dxa"/>
            <w:tcBorders/>
            <w:shd w:color="auto" w:fill="auto" w:val="clear"/>
            <w:vAlign w:val="center"/>
          </w:tcPr>
          <w:p>
            <w:pPr>
              <w:pStyle w:val="Contenutotabella"/>
              <w:jc w:val="both"/>
              <w:rPr>
                <w:color w:val="00000A"/>
              </w:rPr>
            </w:pPr>
            <w:r>
              <w:rPr>
                <w:rFonts w:cs="Trebuchet MS" w:ascii="Trebuchet MS" w:hAnsi="Trebuchet MS"/>
                <w:color w:val="00000A"/>
                <w:sz w:val="22"/>
                <w:szCs w:val="22"/>
              </w:rPr>
              <w:t>26.596 mq</w:t>
            </w:r>
            <w:r>
              <w:rPr>
                <w:rFonts w:cs="Trebuchet MS" w:ascii="Trebuchet MS" w:hAnsi="Trebuchet MS"/>
                <w:color w:val="00000A"/>
                <w:sz w:val="22"/>
                <w:szCs w:val="22"/>
                <w:vertAlign w:val="superscript"/>
              </w:rPr>
              <w:t xml:space="preserve"> (**)</w:t>
            </w:r>
          </w:p>
        </w:tc>
      </w:tr>
      <w:tr>
        <w:trPr>
          <w:trHeight w:val="567" w:hRule="atLeast"/>
        </w:trPr>
        <w:tc>
          <w:tcPr>
            <w:tcW w:w="6745" w:type="dxa"/>
            <w:tcBorders/>
            <w:shd w:color="auto" w:fill="auto" w:val="clear"/>
            <w:vAlign w:val="center"/>
          </w:tcPr>
          <w:p>
            <w:pPr>
              <w:pStyle w:val="Contenutotabella"/>
              <w:tabs>
                <w:tab w:val="left" w:pos="180" w:leader="none"/>
                <w:tab w:val="left" w:pos="5580" w:leader="none"/>
              </w:tabs>
              <w:jc w:val="both"/>
              <w:rPr>
                <w:color w:val="00000A"/>
              </w:rPr>
            </w:pPr>
            <w:r>
              <w:rPr>
                <w:rFonts w:eastAsia="SimSun, 'Arial Unicode MS'" w:cs="Trebuchet MS" w:ascii="Trebuchet MS" w:hAnsi="Trebuchet MS"/>
                <w:color w:val="00000A"/>
                <w:sz w:val="22"/>
                <w:szCs w:val="22"/>
                <w:lang w:bidi="hi-IN"/>
              </w:rPr>
              <w:t xml:space="preserve">Sc in ampliamento ammessa </w:t>
            </w:r>
            <w:r>
              <w:rPr>
                <w:rStyle w:val="Enfasiforte"/>
                <w:rFonts w:cs="Trebuchet MS" w:ascii="Trebuchet MS" w:hAnsi="Trebuchet MS"/>
                <w:b w:val="false"/>
                <w:bCs w:val="false"/>
                <w:color w:val="00000A"/>
                <w:sz w:val="22"/>
                <w:szCs w:val="22"/>
              </w:rPr>
              <w:t>“PRU_IP-1a.bis”</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(30% Sc esistente stato di fatto)</w:t>
            </w:r>
          </w:p>
        </w:tc>
        <w:tc>
          <w:tcPr>
            <w:tcW w:w="566" w:type="dxa"/>
            <w:tcBorders/>
            <w:shd w:color="auto" w:fill="auto" w:val="clear"/>
            <w:vAlign w:val="center"/>
          </w:tcPr>
          <w:p>
            <w:pPr>
              <w:pStyle w:val="Standard"/>
              <w:widowControl w:val="false"/>
              <w:tabs>
                <w:tab w:val="left" w:pos="360" w:leader="none"/>
                <w:tab w:val="left" w:pos="5760" w:leader="none"/>
              </w:tabs>
              <w:snapToGrid w:val="false"/>
              <w:ind w:left="180" w:hanging="180"/>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r>
          </w:p>
        </w:tc>
        <w:tc>
          <w:tcPr>
            <w:tcW w:w="1647"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7.979 mq</w:t>
            </w:r>
          </w:p>
        </w:tc>
      </w:tr>
      <w:tr>
        <w:trPr>
          <w:trHeight w:val="567" w:hRule="atLeast"/>
        </w:trPr>
        <w:tc>
          <w:tcPr>
            <w:tcW w:w="6745" w:type="dxa"/>
            <w:tcBorders/>
            <w:shd w:color="auto" w:fill="auto" w:val="clear"/>
            <w:vAlign w:val="center"/>
          </w:tcPr>
          <w:p>
            <w:pPr>
              <w:pStyle w:val="Contenutotabella"/>
              <w:tabs>
                <w:tab w:val="left" w:pos="180" w:leader="none"/>
                <w:tab w:val="left" w:pos="5580" w:leader="none"/>
              </w:tabs>
              <w:jc w:val="both"/>
              <w:rPr>
                <w:color w:val="00000A"/>
              </w:rPr>
            </w:pPr>
            <w:r>
              <w:rPr>
                <w:rFonts w:eastAsia="SimSun, 'Arial Unicode MS'" w:cs="Trebuchet MS" w:ascii="Trebuchet MS" w:hAnsi="Trebuchet MS"/>
                <w:color w:val="00000A"/>
                <w:sz w:val="22"/>
                <w:szCs w:val="22"/>
                <w:lang w:bidi="hi-IN"/>
              </w:rPr>
              <w:t xml:space="preserve">Sc massima ammessa </w:t>
            </w:r>
            <w:r>
              <w:rPr>
                <w:rStyle w:val="Enfasiforte"/>
                <w:rFonts w:cs="Trebuchet MS" w:ascii="Trebuchet MS" w:hAnsi="Trebuchet MS"/>
                <w:b w:val="false"/>
                <w:bCs w:val="false"/>
                <w:color w:val="00000A"/>
                <w:sz w:val="22"/>
                <w:szCs w:val="22"/>
              </w:rPr>
              <w:t>“PRU_IP-1a.bis”</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(Sc esistente stato di fatto + 30% Sc esistente stato di fatto = 26.596 mq + 7.979 mq)</w:t>
            </w:r>
          </w:p>
        </w:tc>
        <w:tc>
          <w:tcPr>
            <w:tcW w:w="566" w:type="dxa"/>
            <w:tcBorders/>
            <w:shd w:color="auto" w:fill="auto" w:val="clear"/>
            <w:vAlign w:val="center"/>
          </w:tcPr>
          <w:p>
            <w:pPr>
              <w:pStyle w:val="Standard"/>
              <w:widowControl w:val="false"/>
              <w:tabs>
                <w:tab w:val="left" w:pos="360" w:leader="none"/>
                <w:tab w:val="left" w:pos="5760" w:leader="none"/>
              </w:tabs>
              <w:snapToGrid w:val="false"/>
              <w:ind w:left="180" w:hanging="180"/>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r>
          </w:p>
        </w:tc>
        <w:tc>
          <w:tcPr>
            <w:tcW w:w="1647"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34.575 mq</w:t>
            </w:r>
          </w:p>
        </w:tc>
      </w:tr>
      <w:tr>
        <w:trPr>
          <w:trHeight w:val="567" w:hRule="atLeast"/>
        </w:trPr>
        <w:tc>
          <w:tcPr>
            <w:tcW w:w="6745" w:type="dxa"/>
            <w:tcBorders/>
            <w:shd w:color="auto" w:fill="auto" w:val="clear"/>
            <w:vAlign w:val="center"/>
          </w:tcPr>
          <w:p>
            <w:pPr>
              <w:pStyle w:val="Contenutotabella"/>
              <w:tabs>
                <w:tab w:val="left" w:pos="180" w:leader="none"/>
                <w:tab w:val="left" w:pos="5580" w:leader="none"/>
              </w:tabs>
              <w:jc w:val="both"/>
              <w:rPr>
                <w:color w:val="00000A"/>
              </w:rPr>
            </w:pPr>
            <w:r>
              <w:rPr>
                <w:rFonts w:eastAsia="SimSun, 'Arial Unicode MS'" w:cs="Trebuchet MS" w:ascii="Trebuchet MS" w:hAnsi="Trebuchet MS"/>
                <w:color w:val="00000A"/>
                <w:sz w:val="22"/>
                <w:szCs w:val="22"/>
                <w:lang w:bidi="hi-IN"/>
              </w:rPr>
              <w:t xml:space="preserve">Sc ipotetica prevista in </w:t>
            </w:r>
            <w:r>
              <w:rPr>
                <w:rFonts w:cs="Trebuchet MS" w:ascii="Trebuchet MS" w:hAnsi="Trebuchet MS"/>
                <w:color w:val="00000A"/>
                <w:sz w:val="22"/>
                <w:szCs w:val="22"/>
              </w:rPr>
              <w:t xml:space="preserve">attuazione </w:t>
            </w:r>
            <w:r>
              <w:rPr>
                <w:rStyle w:val="Enfasiforte"/>
                <w:rFonts w:cs="Trebuchet MS" w:ascii="Trebuchet MS" w:hAnsi="Trebuchet MS"/>
                <w:b w:val="false"/>
                <w:bCs w:val="false"/>
                <w:color w:val="00000A"/>
                <w:sz w:val="22"/>
                <w:szCs w:val="22"/>
              </w:rPr>
              <w:t xml:space="preserve">“PRU_IP-1a.bis” </w:t>
            </w:r>
            <w:r>
              <w:rPr>
                <w:rStyle w:val="Enfasiforte"/>
                <w:rFonts w:eastAsia="SimSun, 'Arial Unicode MS'" w:cs="Trebuchet MS" w:ascii="Trebuchet MS" w:hAnsi="Trebuchet MS"/>
                <w:b w:val="false"/>
                <w:bCs w:val="false"/>
                <w:color w:val="00000A"/>
                <w:sz w:val="22"/>
                <w:szCs w:val="22"/>
                <w:lang w:bidi="hi-IN"/>
              </w:rPr>
              <w:t>(di progetto)</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(4.861 mq C17 + 8.609 mq C18 + 4.405 mq C15a + 9.722 mq C15b e C15c + 300 mq in Ve)</w:t>
            </w:r>
          </w:p>
        </w:tc>
        <w:tc>
          <w:tcPr>
            <w:tcW w:w="566" w:type="dxa"/>
            <w:tcBorders/>
            <w:shd w:color="auto" w:fill="auto" w:val="clear"/>
            <w:vAlign w:val="center"/>
          </w:tcPr>
          <w:p>
            <w:pPr>
              <w:pStyle w:val="Contenutotabella"/>
              <w:widowControl w:val="false"/>
              <w:tabs>
                <w:tab w:val="left" w:pos="180" w:leader="none"/>
              </w:tabs>
              <w:snapToGrid w:val="false"/>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color w:val="00000A"/>
              </w:rPr>
            </w:pPr>
            <w:r>
              <w:rPr>
                <w:rFonts w:cs="Trebuchet MS" w:ascii="Trebuchet MS" w:hAnsi="Trebuchet MS"/>
                <w:color w:val="00000A"/>
                <w:sz w:val="22"/>
                <w:szCs w:val="22"/>
              </w:rPr>
              <w:t>27.897 mq</w:t>
            </w:r>
          </w:p>
        </w:tc>
      </w:tr>
      <w:tr>
        <w:trPr>
          <w:trHeight w:val="57" w:hRule="atLeast"/>
        </w:trPr>
        <w:tc>
          <w:tcPr>
            <w:tcW w:w="6745" w:type="dxa"/>
            <w:tcBorders/>
            <w:shd w:color="auto" w:fill="auto" w:val="clear"/>
            <w:vAlign w:val="center"/>
          </w:tcPr>
          <w:p>
            <w:pPr>
              <w:pStyle w:val="Contenutotabella"/>
              <w:tabs>
                <w:tab w:val="left" w:pos="180" w:leader="none"/>
                <w:tab w:val="left" w:pos="5580" w:leader="none"/>
              </w:tabs>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566" w:type="dxa"/>
            <w:tcBorders/>
            <w:shd w:color="auto" w:fill="auto" w:val="clear"/>
            <w:vAlign w:val="center"/>
          </w:tcPr>
          <w:p>
            <w:pPr>
              <w:pStyle w:val="Standard"/>
              <w:widowControl w:val="false"/>
              <w:tabs>
                <w:tab w:val="left" w:pos="237" w:leader="none"/>
              </w:tabs>
              <w:snapToGrid w:val="false"/>
              <w:ind w:left="57" w:hanging="0"/>
              <w:jc w:val="both"/>
              <w:rPr>
                <w:rFonts w:ascii="Trebuchet MS" w:hAnsi="Trebuchet MS" w:cs="Trebuchet MS"/>
                <w:color w:val="00000A"/>
                <w:sz w:val="4"/>
                <w:szCs w:val="4"/>
              </w:rPr>
            </w:pPr>
            <w:r>
              <w:rPr>
                <w:rFonts w:cs="Trebuchet MS" w:ascii="Trebuchet MS" w:hAnsi="Trebuchet MS"/>
                <w:color w:val="00000A"/>
                <w:sz w:val="4"/>
                <w:szCs w:val="4"/>
              </w:rPr>
            </w:r>
          </w:p>
        </w:tc>
        <w:tc>
          <w:tcPr>
            <w:tcW w:w="1647" w:type="dxa"/>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r>
      <w:tr>
        <w:trPr>
          <w:trHeight w:val="57" w:hRule="atLeast"/>
        </w:trPr>
        <w:tc>
          <w:tcPr>
            <w:tcW w:w="6745" w:type="dxa"/>
            <w:tcBorders>
              <w:top w:val="single" w:sz="2" w:space="0" w:color="000001"/>
            </w:tcBorders>
            <w:shd w:color="auto" w:fill="auto" w:val="clear"/>
            <w:vAlign w:val="center"/>
          </w:tcPr>
          <w:p>
            <w:pPr>
              <w:pStyle w:val="Contenutotabella"/>
              <w:tabs>
                <w:tab w:val="left" w:pos="180" w:leader="none"/>
                <w:tab w:val="left" w:pos="5580" w:leader="none"/>
              </w:tabs>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566" w:type="dxa"/>
            <w:tcBorders>
              <w:top w:val="single" w:sz="2" w:space="0" w:color="000001"/>
            </w:tcBorders>
            <w:shd w:color="auto" w:fill="auto" w:val="clear"/>
            <w:vAlign w:val="center"/>
          </w:tcPr>
          <w:p>
            <w:pPr>
              <w:pStyle w:val="Standard"/>
              <w:widowControl w:val="false"/>
              <w:tabs>
                <w:tab w:val="left" w:pos="237" w:leader="none"/>
              </w:tabs>
              <w:snapToGrid w:val="false"/>
              <w:ind w:left="57" w:hanging="0"/>
              <w:jc w:val="both"/>
              <w:rPr>
                <w:rFonts w:ascii="Trebuchet MS" w:hAnsi="Trebuchet MS" w:cs="Trebuchet MS"/>
                <w:color w:val="00000A"/>
                <w:sz w:val="4"/>
                <w:szCs w:val="4"/>
              </w:rPr>
            </w:pPr>
            <w:r>
              <w:rPr>
                <w:rFonts w:cs="Trebuchet MS" w:ascii="Trebuchet MS" w:hAnsi="Trebuchet MS"/>
                <w:color w:val="00000A"/>
                <w:sz w:val="4"/>
                <w:szCs w:val="4"/>
              </w:rPr>
            </w:r>
          </w:p>
        </w:tc>
        <w:tc>
          <w:tcPr>
            <w:tcW w:w="1647" w:type="dxa"/>
            <w:tcBorders>
              <w:top w:val="single" w:sz="2" w:space="0" w:color="000001"/>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r>
      <w:tr>
        <w:trPr>
          <w:trHeight w:val="567" w:hRule="atLeast"/>
        </w:trPr>
        <w:tc>
          <w:tcPr>
            <w:tcW w:w="6745" w:type="dxa"/>
            <w:tcBorders/>
            <w:shd w:color="auto" w:fill="auto" w:val="clear"/>
            <w:vAlign w:val="center"/>
          </w:tcPr>
          <w:p>
            <w:pPr>
              <w:pStyle w:val="Contenutotabella"/>
              <w:jc w:val="both"/>
              <w:rPr>
                <w:color w:val="00000A"/>
              </w:rPr>
            </w:pPr>
            <w:r>
              <w:rPr>
                <w:rFonts w:cs="Trebuchet MS" w:ascii="Trebuchet MS" w:hAnsi="Trebuchet MS"/>
                <w:color w:val="00000A"/>
                <w:sz w:val="22"/>
                <w:szCs w:val="22"/>
              </w:rPr>
              <w:t xml:space="preserve">SVP </w:t>
            </w:r>
            <w:r>
              <w:rPr>
                <w:rFonts w:cs="Trebuchet MS" w:ascii="Trebuchet MS" w:hAnsi="Trebuchet MS"/>
                <w:color w:val="00000A"/>
                <w:sz w:val="12"/>
                <w:szCs w:val="12"/>
              </w:rPr>
              <w:t>(Aree per il verde pubblico e attrezzature e spazi collettivi)</w:t>
            </w:r>
            <w:r>
              <w:rPr>
                <w:rFonts w:cs="Trebuchet MS" w:ascii="Trebuchet MS" w:hAnsi="Trebuchet MS"/>
                <w:color w:val="00000A"/>
                <w:sz w:val="22"/>
                <w:szCs w:val="22"/>
              </w:rPr>
              <w:t xml:space="preserve"> </w:t>
            </w:r>
            <w:r>
              <w:rPr>
                <w:rStyle w:val="Enfasiforte"/>
                <w:rFonts w:cs="Trebuchet MS" w:ascii="Trebuchet MS" w:hAnsi="Trebuchet MS"/>
                <w:b w:val="false"/>
                <w:bCs w:val="false"/>
                <w:color w:val="00000A"/>
                <w:sz w:val="22"/>
                <w:szCs w:val="22"/>
              </w:rPr>
              <w:t>“PRU_IP-1a.bis”</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(25% St)</w:t>
            </w:r>
          </w:p>
        </w:tc>
        <w:tc>
          <w:tcPr>
            <w:tcW w:w="566" w:type="dxa"/>
            <w:tcBorders/>
            <w:shd w:color="auto" w:fill="auto" w:val="clear"/>
            <w:vAlign w:val="center"/>
          </w:tcPr>
          <w:p>
            <w:pPr>
              <w:pStyle w:val="Contenutotabella"/>
              <w:snapToGrid w:val="false"/>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37.051 mq</w:t>
            </w:r>
          </w:p>
        </w:tc>
      </w:tr>
      <w:tr>
        <w:trPr>
          <w:trHeight w:val="567" w:hRule="atLeast"/>
        </w:trPr>
        <w:tc>
          <w:tcPr>
            <w:tcW w:w="6745" w:type="dxa"/>
            <w:tcBorders/>
            <w:shd w:color="auto" w:fill="auto" w:val="clear"/>
            <w:vAlign w:val="center"/>
          </w:tcPr>
          <w:p>
            <w:pPr>
              <w:pStyle w:val="Contenutotabella"/>
              <w:jc w:val="both"/>
              <w:rPr>
                <w:color w:val="00000A"/>
              </w:rPr>
            </w:pPr>
            <w:r>
              <w:rPr>
                <w:rStyle w:val="Enfasiforte"/>
                <w:rFonts w:eastAsia="SimSun, 'Arial Unicode MS'" w:cs="Trebuchet MS" w:ascii="Trebuchet MS" w:hAnsi="Trebuchet MS"/>
                <w:b w:val="false"/>
                <w:bCs w:val="false"/>
                <w:color w:val="00000A"/>
                <w:sz w:val="22"/>
                <w:szCs w:val="22"/>
                <w:lang w:bidi="hi-IN"/>
              </w:rPr>
              <w:t>SVP (Verde e spazi pubblici)</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(mq di St)</w:t>
            </w:r>
          </w:p>
        </w:tc>
        <w:tc>
          <w:tcPr>
            <w:tcW w:w="566" w:type="dxa"/>
            <w:tcBorders/>
            <w:shd w:color="auto" w:fill="auto" w:val="clear"/>
            <w:vAlign w:val="center"/>
          </w:tcPr>
          <w:p>
            <w:pPr>
              <w:pStyle w:val="Contenutotabella"/>
              <w:snapToGrid w:val="false"/>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40.120 mq</w:t>
            </w:r>
          </w:p>
        </w:tc>
      </w:tr>
      <w:tr>
        <w:trPr>
          <w:trHeight w:val="567" w:hRule="atLeast"/>
        </w:trPr>
        <w:tc>
          <w:tcPr>
            <w:tcW w:w="6745" w:type="dxa"/>
            <w:tcBorders/>
            <w:shd w:color="auto" w:fill="auto" w:val="clear"/>
            <w:vAlign w:val="center"/>
          </w:tcPr>
          <w:p>
            <w:pPr>
              <w:pStyle w:val="Contenutotabella"/>
              <w:jc w:val="both"/>
              <w:rPr>
                <w:color w:val="00000A"/>
              </w:rPr>
            </w:pPr>
            <w:r>
              <w:rPr>
                <w:rStyle w:val="Enfasiforte"/>
                <w:rFonts w:eastAsia="SimSun, 'Arial Unicode MS'" w:cs="Trebuchet MS" w:ascii="Trebuchet MS" w:hAnsi="Trebuchet MS"/>
                <w:b w:val="false"/>
                <w:bCs w:val="false"/>
                <w:color w:val="00000A"/>
                <w:sz w:val="22"/>
                <w:szCs w:val="22"/>
                <w:lang w:bidi="hi-IN"/>
              </w:rPr>
              <w:t>SVP (Tecnopolo)</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(mq di St)</w:t>
            </w:r>
          </w:p>
        </w:tc>
        <w:tc>
          <w:tcPr>
            <w:tcW w:w="566" w:type="dxa"/>
            <w:tcBorders/>
            <w:shd w:color="auto" w:fill="auto" w:val="clear"/>
            <w:vAlign w:val="center"/>
          </w:tcPr>
          <w:p>
            <w:pPr>
              <w:pStyle w:val="Contenutotabella"/>
              <w:snapToGrid w:val="false"/>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5.698 mq</w:t>
            </w:r>
          </w:p>
        </w:tc>
      </w:tr>
      <w:tr>
        <w:trPr>
          <w:trHeight w:val="567" w:hRule="atLeast"/>
        </w:trPr>
        <w:tc>
          <w:tcPr>
            <w:tcW w:w="6745"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SVP (CIM)</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(mq di St)</w:t>
            </w:r>
          </w:p>
        </w:tc>
        <w:tc>
          <w:tcPr>
            <w:tcW w:w="566" w:type="dxa"/>
            <w:tcBorders/>
            <w:shd w:color="auto" w:fill="auto" w:val="clear"/>
            <w:vAlign w:val="center"/>
          </w:tcPr>
          <w:p>
            <w:pPr>
              <w:pStyle w:val="Contenutotabella"/>
              <w:snapToGrid w:val="false"/>
              <w:jc w:val="both"/>
              <w:rPr>
                <w:rFonts w:ascii="Trebuchet MS" w:hAnsi="Trebuchet MS" w:cs="Trebuchet MS"/>
                <w:color w:val="00000A"/>
              </w:rPr>
            </w:pPr>
            <w:r>
              <w:rPr>
                <w:rFonts w:cs="Trebuchet MS" w:ascii="Trebuchet MS" w:hAnsi="Trebuchet MS"/>
                <w:color w:val="00000A"/>
              </w:rPr>
            </w:r>
          </w:p>
        </w:tc>
        <w:tc>
          <w:tcPr>
            <w:tcW w:w="1647"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14.064 mq</w:t>
            </w:r>
          </w:p>
        </w:tc>
      </w:tr>
      <w:tr>
        <w:trPr>
          <w:trHeight w:val="567" w:hRule="atLeast"/>
        </w:trPr>
        <w:tc>
          <w:tcPr>
            <w:tcW w:w="6745" w:type="dxa"/>
            <w:tcBorders/>
            <w:shd w:color="auto" w:fill="auto" w:val="clear"/>
            <w:vAlign w:val="center"/>
          </w:tcPr>
          <w:p>
            <w:pPr>
              <w:pStyle w:val="Contenutotabella"/>
              <w:jc w:val="both"/>
              <w:rPr>
                <w:color w:val="00000A"/>
              </w:rPr>
            </w:pPr>
            <w:r>
              <w:rPr>
                <w:rFonts w:cs="Trebuchet MS" w:ascii="Trebuchet MS" w:hAnsi="Trebuchet MS"/>
                <w:color w:val="00000A"/>
                <w:sz w:val="22"/>
                <w:szCs w:val="22"/>
              </w:rPr>
              <w:t xml:space="preserve">SVP totale prevista in attuazione </w:t>
            </w:r>
            <w:r>
              <w:rPr>
                <w:rStyle w:val="Enfasiforte"/>
                <w:rFonts w:cs="Trebuchet MS" w:ascii="Trebuchet MS" w:hAnsi="Trebuchet MS"/>
                <w:b w:val="false"/>
                <w:bCs w:val="false"/>
                <w:color w:val="00000A"/>
                <w:sz w:val="22"/>
                <w:szCs w:val="22"/>
              </w:rPr>
              <w:t>“PRU_IP-1a.bis” (di progetto)</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(40.120 mq Verde e spazi pubblici + 5.698 mq Tecnopolo + 14.065 mq CIM)</w:t>
            </w:r>
          </w:p>
        </w:tc>
        <w:tc>
          <w:tcPr>
            <w:tcW w:w="566" w:type="dxa"/>
            <w:tcBorders/>
            <w:shd w:color="auto" w:fill="auto" w:val="clear"/>
            <w:vAlign w:val="center"/>
          </w:tcPr>
          <w:p>
            <w:pPr>
              <w:pStyle w:val="Contenutotabella"/>
              <w:snapToGrid w:val="false"/>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color w:val="00000A"/>
              </w:rPr>
            </w:pPr>
            <w:r>
              <w:rPr>
                <w:rFonts w:cs="Trebuchet MS" w:ascii="Trebuchet MS" w:hAnsi="Trebuchet MS"/>
                <w:color w:val="00000A"/>
                <w:sz w:val="22"/>
                <w:szCs w:val="22"/>
              </w:rPr>
              <w:t xml:space="preserve">59.882 </w:t>
            </w:r>
            <w:r>
              <w:rPr>
                <w:rFonts w:cs="Trebuchet MS" w:ascii="Trebuchet MS" w:hAnsi="Trebuchet MS"/>
                <w:color w:val="00000A"/>
                <w:sz w:val="22"/>
                <w:szCs w:val="22"/>
                <w:vertAlign w:val="superscript"/>
              </w:rPr>
              <w:t>(***)</w:t>
            </w:r>
          </w:p>
        </w:tc>
      </w:tr>
      <w:tr>
        <w:trPr>
          <w:trHeight w:val="57" w:hRule="atLeast"/>
        </w:trPr>
        <w:tc>
          <w:tcPr>
            <w:tcW w:w="6745" w:type="dxa"/>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566" w:type="dxa"/>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1647" w:type="dxa"/>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r>
      <w:tr>
        <w:trPr>
          <w:trHeight w:val="57" w:hRule="atLeast"/>
        </w:trPr>
        <w:tc>
          <w:tcPr>
            <w:tcW w:w="6745" w:type="dxa"/>
            <w:tcBorders>
              <w:top w:val="single" w:sz="2" w:space="0" w:color="000001"/>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566" w:type="dxa"/>
            <w:tcBorders>
              <w:top w:val="single" w:sz="2" w:space="0" w:color="000001"/>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c>
          <w:tcPr>
            <w:tcW w:w="1647" w:type="dxa"/>
            <w:tcBorders>
              <w:top w:val="single" w:sz="2" w:space="0" w:color="000001"/>
            </w:tcBorders>
            <w:shd w:color="auto" w:fill="auto" w:val="clear"/>
            <w:vAlign w:val="center"/>
          </w:tcPr>
          <w:p>
            <w:pPr>
              <w:pStyle w:val="Contenutotabella"/>
              <w:snapToGrid w:val="false"/>
              <w:jc w:val="both"/>
              <w:rPr>
                <w:rFonts w:ascii="Trebuchet MS" w:hAnsi="Trebuchet MS" w:cs="Trebuchet MS"/>
                <w:color w:val="00000A"/>
                <w:sz w:val="4"/>
                <w:szCs w:val="4"/>
              </w:rPr>
            </w:pPr>
            <w:r>
              <w:rPr>
                <w:rFonts w:cs="Trebuchet MS" w:ascii="Trebuchet MS" w:hAnsi="Trebuchet MS"/>
                <w:color w:val="00000A"/>
                <w:sz w:val="4"/>
                <w:szCs w:val="4"/>
              </w:rPr>
            </w:r>
          </w:p>
        </w:tc>
      </w:tr>
      <w:tr>
        <w:trPr>
          <w:trHeight w:val="567" w:hRule="exact"/>
        </w:trPr>
        <w:tc>
          <w:tcPr>
            <w:tcW w:w="6745"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Indice arboreo A</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(30 alberi/ha)</w:t>
            </w:r>
          </w:p>
        </w:tc>
        <w:tc>
          <w:tcPr>
            <w:tcW w:w="566" w:type="dxa"/>
            <w:tcBorders/>
            <w:shd w:color="auto" w:fill="auto" w:val="clear"/>
            <w:vAlign w:val="center"/>
          </w:tcPr>
          <w:p>
            <w:pPr>
              <w:pStyle w:val="Contenutotabella"/>
              <w:snapToGrid w:val="false"/>
              <w:jc w:val="both"/>
              <w:rPr>
                <w:rFonts w:ascii="Trebuchet MS" w:hAnsi="Trebuchet MS" w:cs="Trebuchet MS"/>
                <w:color w:val="00000A"/>
                <w:sz w:val="22"/>
                <w:szCs w:val="22"/>
              </w:rPr>
            </w:pPr>
            <w:r>
              <w:rPr>
                <w:rFonts w:cs="Trebuchet MS" w:ascii="Trebuchet MS" w:hAnsi="Trebuchet MS"/>
                <w:color w:val="00000A"/>
                <w:sz w:val="22"/>
                <w:szCs w:val="22"/>
              </w:rPr>
            </w:r>
          </w:p>
        </w:tc>
        <w:tc>
          <w:tcPr>
            <w:tcW w:w="1647" w:type="dxa"/>
            <w:tcBorders/>
            <w:shd w:color="auto" w:fill="auto" w:val="clear"/>
            <w:vAlign w:val="center"/>
          </w:tcPr>
          <w:p>
            <w:pPr>
              <w:pStyle w:val="Contenutotabella"/>
              <w:snapToGrid w:val="false"/>
              <w:jc w:val="both"/>
              <w:rPr>
                <w:color w:val="00000A"/>
              </w:rPr>
            </w:pPr>
            <w:r>
              <w:rPr>
                <w:rFonts w:cs="Trebuchet MS" w:ascii="Trebuchet MS" w:hAnsi="Trebuchet MS"/>
                <w:color w:val="00000A"/>
                <w:sz w:val="22"/>
                <w:szCs w:val="22"/>
              </w:rPr>
              <w:t xml:space="preserve">445 alberi </w:t>
            </w:r>
            <w:r>
              <w:rPr>
                <w:rFonts w:cs="Trebuchet MS" w:ascii="Trebuchet MS" w:hAnsi="Trebuchet MS"/>
                <w:color w:val="00000A"/>
                <w:sz w:val="22"/>
                <w:szCs w:val="22"/>
                <w:vertAlign w:val="superscript"/>
              </w:rPr>
              <w:t>(****)</w:t>
            </w:r>
          </w:p>
        </w:tc>
      </w:tr>
      <w:tr>
        <w:trPr>
          <w:trHeight w:val="567" w:hRule="exact"/>
        </w:trPr>
        <w:tc>
          <w:tcPr>
            <w:tcW w:w="6745" w:type="dxa"/>
            <w:tcBorders/>
            <w:shd w:color="auto" w:fill="auto" w:val="clear"/>
            <w:vAlign w:val="center"/>
          </w:tcPr>
          <w:p>
            <w:pPr>
              <w:pStyle w:val="Contenutotabella"/>
              <w:jc w:val="both"/>
              <w:rPr>
                <w:rFonts w:ascii="Trebuchet MS" w:hAnsi="Trebuchet MS" w:cs="Trebuchet MS"/>
                <w:color w:val="00000A"/>
                <w:sz w:val="22"/>
                <w:szCs w:val="22"/>
              </w:rPr>
            </w:pPr>
            <w:r>
              <w:rPr>
                <w:rFonts w:cs="Trebuchet MS" w:ascii="Trebuchet MS" w:hAnsi="Trebuchet MS"/>
                <w:color w:val="00000A"/>
                <w:sz w:val="22"/>
                <w:szCs w:val="22"/>
              </w:rPr>
              <w:t>Indice arbustivo Ar</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(40 arbusti/ha)</w:t>
            </w:r>
          </w:p>
        </w:tc>
        <w:tc>
          <w:tcPr>
            <w:tcW w:w="566" w:type="dxa"/>
            <w:tcBorders/>
            <w:shd w:color="auto" w:fill="auto" w:val="clear"/>
            <w:vAlign w:val="center"/>
          </w:tcPr>
          <w:p>
            <w:pPr>
              <w:pStyle w:val="Contenutotabella"/>
              <w:snapToGrid w:val="false"/>
              <w:jc w:val="both"/>
              <w:rPr>
                <w:rFonts w:ascii="Trebuchet MS" w:hAnsi="Trebuchet MS" w:cs="Trebuchet MS"/>
                <w:color w:val="00000A"/>
                <w:sz w:val="22"/>
                <w:szCs w:val="22"/>
              </w:rPr>
            </w:pPr>
            <w:r>
              <w:rPr>
                <w:rFonts w:cs="Trebuchet MS" w:ascii="Trebuchet MS" w:hAnsi="Trebuchet MS"/>
                <w:color w:val="00000A"/>
                <w:sz w:val="22"/>
                <w:szCs w:val="22"/>
              </w:rPr>
            </w:r>
          </w:p>
        </w:tc>
        <w:tc>
          <w:tcPr>
            <w:tcW w:w="1647" w:type="dxa"/>
            <w:tcBorders/>
            <w:shd w:color="auto" w:fill="auto" w:val="clear"/>
            <w:vAlign w:val="center"/>
          </w:tcPr>
          <w:p>
            <w:pPr>
              <w:pStyle w:val="Contenutotabella"/>
              <w:snapToGrid w:val="false"/>
              <w:jc w:val="both"/>
              <w:rPr>
                <w:color w:val="00000A"/>
              </w:rPr>
            </w:pPr>
            <w:r>
              <w:rPr>
                <w:rFonts w:cs="Trebuchet MS" w:ascii="Trebuchet MS" w:hAnsi="Trebuchet MS"/>
                <w:color w:val="00000A"/>
                <w:sz w:val="22"/>
                <w:szCs w:val="22"/>
              </w:rPr>
              <w:t xml:space="preserve">593 arbusti </w:t>
            </w:r>
            <w:r>
              <w:rPr>
                <w:rFonts w:cs="Trebuchet MS" w:ascii="Trebuchet MS" w:hAnsi="Trebuchet MS"/>
                <w:color w:val="00000A"/>
                <w:sz w:val="22"/>
                <w:szCs w:val="22"/>
                <w:vertAlign w:val="superscript"/>
              </w:rPr>
              <w:t>(****)</w:t>
            </w:r>
          </w:p>
        </w:tc>
      </w:tr>
    </w:tbl>
    <w:p>
      <w:pPr>
        <w:pStyle w:val="Titolo1"/>
        <w:ind w:left="850" w:right="0" w:hanging="0"/>
        <w:rPr>
          <w:rFonts w:cs="Trebuchet MS"/>
          <w:color w:val="00000A"/>
          <w:sz w:val="22"/>
          <w:szCs w:val="22"/>
        </w:rPr>
      </w:pPr>
      <w:r>
        <w:rPr>
          <w:rFonts w:cs="Trebuchet MS"/>
          <w:color w:val="00000A"/>
          <w:sz w:val="22"/>
          <w:szCs w:val="22"/>
        </w:rPr>
      </w:r>
    </w:p>
    <w:p>
      <w:pPr>
        <w:pStyle w:val="Standard"/>
        <w:widowControl w:val="false"/>
        <w:ind w:left="1304" w:hanging="454"/>
        <w:jc w:val="both"/>
        <w:rPr>
          <w:color w:val="00000A"/>
        </w:rPr>
      </w:pPr>
      <w:r>
        <w:rPr>
          <w:rFonts w:eastAsia="SimSun, 'Arial Unicode MS'" w:cs="Trebuchet MS" w:ascii="Trebuchet MS" w:hAnsi="Trebuchet MS"/>
          <w:color w:val="00000A"/>
          <w:sz w:val="22"/>
          <w:szCs w:val="22"/>
          <w:vertAlign w:val="superscript"/>
          <w:lang w:bidi="hi-IN"/>
        </w:rPr>
        <w:t>(*)</w:t>
      </w:r>
      <w:r>
        <w:rPr>
          <w:rFonts w:eastAsia="SimSun, 'Arial Unicode MS'" w:cs="Trebuchet MS" w:ascii="Trebuchet MS" w:hAnsi="Trebuchet MS"/>
          <w:color w:val="00000A"/>
          <w:sz w:val="22"/>
          <w:szCs w:val="22"/>
          <w:lang w:bidi="hi-IN"/>
        </w:rPr>
        <w:tab/>
        <w:t>La superficie territoriale totale del “PRU_IP-1a.bis”, pari a 148.204 mq comprende al proprio interno la superficie territoriale del “PRU_IP-1a” pari a 102.415 mq (la superficie territoriale del “PRU_IP-1a” era pari a 102.814 mq ed è stata rettificata, in sede di progetto esecutivo, a 102.415 mq).</w:t>
      </w:r>
    </w:p>
    <w:p>
      <w:pPr>
        <w:pStyle w:val="Standard"/>
        <w:widowControl w:val="false"/>
        <w:ind w:left="1304" w:hanging="0"/>
        <w:jc w:val="both"/>
        <w:rPr>
          <w:rFonts w:ascii="Trebuchet MS" w:hAnsi="Trebuchet MS" w:eastAsia="SimSun, 'Arial Unicode MS'" w:cs="Trebuchet MS"/>
          <w:color w:val="00000A"/>
          <w:sz w:val="8"/>
          <w:szCs w:val="8"/>
          <w:lang w:bidi="hi-IN"/>
        </w:rPr>
      </w:pPr>
      <w:r>
        <w:rPr>
          <w:rFonts w:eastAsia="SimSun, 'Arial Unicode MS'" w:cs="Trebuchet MS" w:ascii="Trebuchet MS" w:hAnsi="Trebuchet MS"/>
          <w:color w:val="00000A"/>
          <w:sz w:val="8"/>
          <w:szCs w:val="8"/>
          <w:lang w:bidi="hi-IN"/>
        </w:rPr>
      </w:r>
    </w:p>
    <w:p>
      <w:pPr>
        <w:pStyle w:val="Standard"/>
        <w:widowControl w:val="false"/>
        <w:ind w:left="1304" w:hanging="454"/>
        <w:jc w:val="both"/>
        <w:rPr>
          <w:color w:val="00000A"/>
        </w:rPr>
      </w:pPr>
      <w:r>
        <w:rPr>
          <w:rFonts w:eastAsia="SimSun, 'Arial Unicode MS'" w:cs="Trebuchet MS" w:ascii="Trebuchet MS" w:hAnsi="Trebuchet MS"/>
          <w:color w:val="00000A"/>
          <w:sz w:val="22"/>
          <w:szCs w:val="22"/>
          <w:vertAlign w:val="superscript"/>
          <w:lang w:bidi="hi-IN"/>
        </w:rPr>
        <w:t>(**)</w:t>
      </w:r>
      <w:r>
        <w:rPr>
          <w:rFonts w:eastAsia="SimSun, 'Arial Unicode MS'" w:cs="Trebuchet MS" w:ascii="Trebuchet MS" w:hAnsi="Trebuchet MS"/>
          <w:color w:val="00000A"/>
          <w:sz w:val="22"/>
          <w:szCs w:val="22"/>
          <w:lang w:bidi="hi-IN"/>
        </w:rPr>
        <w:tab/>
        <w:t>Nel calcolo della Superficie complessiva esistente (stato di fatto) non rientra la superficie del Tecnopolo (Su = 4.350 mq).</w:t>
      </w:r>
    </w:p>
    <w:p>
      <w:pPr>
        <w:pStyle w:val="Standard"/>
        <w:widowControl w:val="false"/>
        <w:ind w:left="850" w:hanging="0"/>
        <w:jc w:val="both"/>
        <w:rPr>
          <w:rFonts w:ascii="Trebuchet MS" w:hAnsi="Trebuchet MS" w:eastAsia="SimSun, 'Arial Unicode MS'" w:cs="Trebuchet MS"/>
          <w:color w:val="00000A"/>
          <w:sz w:val="8"/>
          <w:szCs w:val="8"/>
          <w:lang w:bidi="hi-IN"/>
        </w:rPr>
      </w:pPr>
      <w:r>
        <w:rPr>
          <w:rFonts w:eastAsia="SimSun, 'Arial Unicode MS'" w:cs="Trebuchet MS" w:ascii="Trebuchet MS" w:hAnsi="Trebuchet MS"/>
          <w:color w:val="00000A"/>
          <w:sz w:val="8"/>
          <w:szCs w:val="8"/>
          <w:lang w:bidi="hi-IN"/>
        </w:rPr>
      </w:r>
    </w:p>
    <w:p>
      <w:pPr>
        <w:pStyle w:val="Standard"/>
        <w:widowControl w:val="false"/>
        <w:ind w:left="1304" w:hanging="454"/>
        <w:jc w:val="both"/>
        <w:rPr>
          <w:color w:val="00000A"/>
        </w:rPr>
      </w:pPr>
      <w:r>
        <w:rPr>
          <w:rFonts w:eastAsia="SimSun, 'Arial Unicode MS'" w:cs="Trebuchet MS" w:ascii="Trebuchet MS" w:hAnsi="Trebuchet MS"/>
          <w:color w:val="00000A"/>
          <w:sz w:val="22"/>
          <w:szCs w:val="22"/>
          <w:vertAlign w:val="superscript"/>
          <w:lang w:bidi="hi-IN"/>
        </w:rPr>
        <w:t>(***)</w:t>
      </w:r>
      <w:r>
        <w:rPr>
          <w:rFonts w:eastAsia="SimSun, 'Arial Unicode MS'" w:cs="Trebuchet MS" w:ascii="Trebuchet MS" w:hAnsi="Trebuchet MS"/>
          <w:color w:val="00000A"/>
          <w:sz w:val="22"/>
          <w:szCs w:val="22"/>
          <w:lang w:bidi="hi-IN"/>
        </w:rPr>
        <w:tab/>
        <w:t>La SVP (Aree per il verde pubblico e attrezzature e spazi collettivi) prevista nel progetto di attuazione del “PRU_IP-1a.bis” è pari a 59.882 mq (vedi tavola n. 18) e comprende al proprio interno sia i 40.120 mq di Verde e spazi pubblici di progetto che i 5.698 mq afferenti al Tecnopolo (la superficie territoriale del Tecnopolo era pari a 7.069 mq ed è stata rettificata prima a 5.938 mq in sede di progetto esecutivo del primo stralcio e poi a 5.698 mq in sede di progetto del secondo stralcio del PRU) che i 14.064 mq afferenti il parcheggio scambiatore CIM (la superficie territoriale del CIM era pari a 12.889 mq ed è stata rettificata, in sede di progetto esecutivo, prima a 14.425 mq e poi a 14.064 mq).</w:t>
      </w:r>
    </w:p>
    <w:p>
      <w:pPr>
        <w:pStyle w:val="Standard"/>
        <w:widowControl w:val="false"/>
        <w:ind w:left="850" w:hanging="0"/>
        <w:jc w:val="both"/>
        <w:rPr>
          <w:rFonts w:ascii="Trebuchet MS" w:hAnsi="Trebuchet MS" w:eastAsia="SimSun, 'Arial Unicode MS'" w:cs="Trebuchet MS"/>
          <w:color w:val="00000A"/>
          <w:sz w:val="8"/>
          <w:szCs w:val="8"/>
          <w:lang w:bidi="hi-IN"/>
        </w:rPr>
      </w:pPr>
      <w:r>
        <w:rPr>
          <w:rFonts w:eastAsia="SimSun, 'Arial Unicode MS'" w:cs="Trebuchet MS" w:ascii="Trebuchet MS" w:hAnsi="Trebuchet MS"/>
          <w:color w:val="00000A"/>
          <w:sz w:val="8"/>
          <w:szCs w:val="8"/>
          <w:lang w:bidi="hi-IN"/>
        </w:rPr>
      </w:r>
    </w:p>
    <w:p>
      <w:pPr>
        <w:pStyle w:val="Standard"/>
        <w:widowControl w:val="false"/>
        <w:ind w:left="1304" w:hanging="454"/>
        <w:jc w:val="both"/>
        <w:rPr>
          <w:color w:val="00000A"/>
        </w:rPr>
      </w:pPr>
      <w:r>
        <w:rPr>
          <w:rFonts w:eastAsia="SimSun, 'Arial Unicode MS'" w:cs="Trebuchet MS" w:ascii="Trebuchet MS" w:hAnsi="Trebuchet MS"/>
          <w:color w:val="00000A"/>
          <w:sz w:val="22"/>
          <w:szCs w:val="22"/>
          <w:vertAlign w:val="superscript"/>
          <w:lang w:bidi="hi-IN"/>
        </w:rPr>
        <w:t>(****)</w:t>
      </w:r>
      <w:r>
        <w:rPr>
          <w:rFonts w:eastAsia="SimSun, 'Arial Unicode MS'" w:cs="Trebuchet MS" w:ascii="Trebuchet MS" w:hAnsi="Trebuchet MS"/>
          <w:color w:val="00000A"/>
          <w:sz w:val="22"/>
          <w:szCs w:val="22"/>
          <w:lang w:bidi="hi-IN"/>
        </w:rPr>
        <w:tab/>
      </w:r>
      <w:r>
        <w:rPr>
          <w:rFonts w:eastAsia="SimSun, 'Arial Unicode MS'" w:cs="Trebuchet MS" w:ascii="Trebuchet MS" w:hAnsi="Trebuchet MS"/>
          <w:color w:val="00000A"/>
          <w:sz w:val="22"/>
          <w:szCs w:val="10"/>
          <w:lang w:bidi="hi-IN"/>
        </w:rPr>
        <w:t>L’indice arboreo-arbustivo potrà essere derogato in fase di progetto esecutivo, in coordinamento e coerenza con il progetto di bonifica ambientale dell’area. La dotazione di alberi potrà essere in parte assolta anche fuori comparto e/o con una equivalente dotazione di arbusti.</w:t>
      </w:r>
    </w:p>
    <w:p>
      <w:pPr>
        <w:pStyle w:val="Standard"/>
        <w:widowControl w:val="false"/>
        <w:ind w:left="1304" w:hanging="454"/>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r>
    </w:p>
    <w:p>
      <w:pPr>
        <w:pStyle w:val="Contenutotabella"/>
        <w:widowControl w:val="false"/>
        <w:snapToGrid w:val="false"/>
        <w:ind w:left="850" w:hanging="0"/>
        <w:jc w:val="both"/>
        <w:rPr>
          <w:color w:val="00000A"/>
        </w:rPr>
      </w:pPr>
      <w:r>
        <w:rPr>
          <w:rFonts w:cs="Trebuchet MS" w:ascii="Trebuchet MS" w:hAnsi="Trebuchet MS"/>
          <w:color w:val="00000A"/>
          <w:sz w:val="22"/>
          <w:szCs w:val="22"/>
        </w:rPr>
        <w:t>La superficie complessiva (Sc) massima ammessa nel sub-comparto “PRU_IP-1a.bis”, in fase di progetto esecutivo, è pari alla Sc esistente (26.596 mq) aumentata di una percentuale pari al 30% (7.979 mq), per un totale complessivo di 34.575 mq; tale potenzialità rispetta abbondantemente il limite della superficie complessiva (Sc) massima realizzabile (teoricamente) nel PRU, pari a 59.282 mq (calcolata applicando sulla superficie territoriale (St) del sub-comparto un indice di 0,4 mq Sc/mq St) e pertanto, fermo restando il rispetto di tale limite (59.282 mq), l’elaborazione di un “pre-progetto” di cui all’art. 18 comma 3 del PRU, previo parere dei competenti uffici e della Commissione per la Qualità Architettonica e per il Paesaggio (CQAP), permetterà di incrementare ulteriormente la superficie complessiva (Sc) ammessa nel sub-comparto “PRU_IP-1a.bis” (pari a 34.575 mq), a patto che le nuove eventuali superfici vengano realizzate all’interno delle sagome dei volumi ristrutturati.</w:t>
      </w:r>
    </w:p>
    <w:p>
      <w:pPr>
        <w:pStyle w:val="Contenutotabella"/>
        <w:widowControl w:val="false"/>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Contenutotabella"/>
        <w:widowControl w:val="false"/>
        <w:snapToGrid w:val="false"/>
        <w:ind w:left="850" w:hanging="0"/>
        <w:jc w:val="both"/>
        <w:rPr>
          <w:color w:val="00000A"/>
        </w:rPr>
      </w:pPr>
      <w:r>
        <w:rPr>
          <w:rFonts w:cs="Trebuchet MS" w:ascii="Trebuchet MS" w:hAnsi="Trebuchet MS"/>
          <w:color w:val="00000A"/>
          <w:sz w:val="22"/>
          <w:szCs w:val="22"/>
        </w:rPr>
        <w:t>Le aree destinate a “</w:t>
      </w:r>
      <w:r>
        <w:rPr>
          <w:rFonts w:eastAsia="SimSun, 'Arial Unicode MS'" w:cs="Trebuchet MS" w:ascii="Trebuchet MS" w:hAnsi="Trebuchet MS"/>
          <w:color w:val="00000A"/>
          <w:sz w:val="22"/>
          <w:szCs w:val="22"/>
          <w:lang w:bidi="hi-IN"/>
        </w:rPr>
        <w:t>Verde privato con valenza ecologica (Ve)” del sub-comparto “PRU_IP-1a.bis”, indicate graficamente nella tavola n. 18 del PRU: “Ripartizione funzionale”, maturano le seguenti potenzialità edificatorie:</w:t>
      </w:r>
    </w:p>
    <w:p>
      <w:pPr>
        <w:pStyle w:val="Contenutotabella"/>
        <w:widowControl w:val="false"/>
        <w:snapToGrid w:val="false"/>
        <w:ind w:left="1134" w:hanging="283"/>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w:t>
        <w:tab/>
        <w:t>l’area Ve a nord del braccio storico di viale Ramazzini, contrassegnata nella tavola n. 18 del PRU con un asterisco, fermo restando il rispetto della Sc massima ammessa nel sub-comparto, può accogliere una potenzialità edificatoria derivante dall’applicazione di un indice di utilizzazione territoriale (Ut) “compresso” pari a 0,12 mq Sc/mq St (in linea con l’indice edificatorio delle “Aree destinate a verde privato” di cui agli artt. 4.2.1 e 4.2.3 del RUE);</w:t>
      </w:r>
    </w:p>
    <w:p>
      <w:pPr>
        <w:pStyle w:val="Contenutotabella"/>
        <w:widowControl w:val="false"/>
        <w:snapToGrid w:val="false"/>
        <w:ind w:left="1134" w:hanging="283"/>
        <w:jc w:val="both"/>
        <w:rPr>
          <w:rFonts w:ascii="Trebuchet MS" w:hAnsi="Trebuchet MS" w:eastAsia="SimSun, 'Arial Unicode MS'" w:cs="Trebuchet MS"/>
          <w:color w:val="00000A"/>
          <w:sz w:val="22"/>
          <w:szCs w:val="22"/>
          <w:lang w:bidi="hi-IN"/>
        </w:rPr>
      </w:pPr>
      <w:r>
        <w:rPr>
          <w:rFonts w:eastAsia="SimSun, 'Arial Unicode MS'" w:cs="Trebuchet MS" w:ascii="Trebuchet MS" w:hAnsi="Trebuchet MS"/>
          <w:color w:val="00000A"/>
          <w:sz w:val="22"/>
          <w:szCs w:val="22"/>
          <w:lang w:bidi="hi-IN"/>
        </w:rPr>
        <w:t>-</w:t>
        <w:tab/>
        <w:t>l’area Ve compresa fra il capannone 19 (Tecnopolo) e il capannone 17 non accoglie capacità edificatorie.</w:t>
      </w:r>
    </w:p>
    <w:p>
      <w:pPr>
        <w:pStyle w:val="Contenutotabella"/>
        <w:widowControl w:val="false"/>
        <w:snapToGrid w:val="false"/>
        <w:ind w:left="1134" w:hanging="283"/>
        <w:jc w:val="both"/>
        <w:rPr>
          <w:rFonts w:ascii="Trebuchet MS" w:hAnsi="Trebuchet MS" w:cs="Trebuchet MS"/>
          <w:color w:val="00000A"/>
          <w:sz w:val="10"/>
          <w:szCs w:val="10"/>
        </w:rPr>
      </w:pPr>
      <w:r>
        <w:rPr>
          <w:rFonts w:cs="Trebuchet MS" w:ascii="Trebuchet MS" w:hAnsi="Trebuchet MS"/>
          <w:color w:val="00000A"/>
          <w:sz w:val="10"/>
          <w:szCs w:val="10"/>
        </w:rPr>
      </w:r>
    </w:p>
    <w:p>
      <w:pPr>
        <w:pStyle w:val="Contenutotabella"/>
        <w:widowControl w:val="false"/>
        <w:snapToGrid w:val="false"/>
        <w:ind w:left="850" w:hanging="0"/>
        <w:jc w:val="both"/>
        <w:rPr>
          <w:color w:val="00000A"/>
        </w:rPr>
      </w:pPr>
      <w:r>
        <w:rPr>
          <w:rFonts w:cs="Trebuchet MS" w:ascii="Trebuchet MS" w:hAnsi="Trebuchet MS"/>
          <w:color w:val="00000A"/>
          <w:sz w:val="22"/>
          <w:szCs w:val="22"/>
        </w:rPr>
        <w:t>Le eventuali quote di superficie complessiva (Sc) non utilizzata in attuazione</w:t>
      </w:r>
      <w:r>
        <w:rPr>
          <w:rFonts w:eastAsia="SimSun, 'Arial Unicode MS'" w:cs="Trebuchet MS" w:ascii="Trebuchet MS" w:hAnsi="Trebuchet MS"/>
          <w:color w:val="00000A"/>
          <w:sz w:val="22"/>
          <w:szCs w:val="22"/>
          <w:lang w:bidi="hi-IN"/>
        </w:rPr>
        <w:t xml:space="preserve"> del “PRU_IP-1a.bis” </w:t>
      </w:r>
      <w:r>
        <w:rPr>
          <w:rFonts w:cs="Trebuchet MS" w:ascii="Trebuchet MS" w:hAnsi="Trebuchet MS"/>
          <w:color w:val="00000A"/>
          <w:sz w:val="22"/>
          <w:szCs w:val="22"/>
        </w:rPr>
        <w:t>sono disciplinate dall’art. 7.</w:t>
      </w:r>
    </w:p>
    <w:p>
      <w:pPr>
        <w:pStyle w:val="Standard"/>
        <w:widowControl w:val="false"/>
        <w:ind w:left="1304" w:hanging="454"/>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eastAsia="SimSun, 'Arial Unicode MS'" w:cs="Trebuchet MS"/>
          <w:color w:val="00000A"/>
          <w:sz w:val="22"/>
          <w:szCs w:val="10"/>
          <w:lang w:bidi="hi-IN"/>
        </w:rPr>
      </w:pPr>
      <w:r>
        <w:rPr>
          <w:rFonts w:eastAsia="SimSun, 'Arial Unicode MS'" w:cs="Trebuchet MS" w:ascii="Trebuchet MS" w:hAnsi="Trebuchet MS"/>
          <w:color w:val="00000A"/>
          <w:sz w:val="22"/>
          <w:szCs w:val="10"/>
          <w:lang w:bidi="hi-IN"/>
        </w:rPr>
        <w:t>Permeabilità: in considerazione della destinazioni previste nell’ambito e del progetto di bonifica ambientale dell’area, deve essere garantita unicamente la permeabilità dei suoli esistente nello stralcio di piazzale Europa; nelle restanti aree l’indice di permeabilità sarà conseguenza del progetto esecutivo che dovrà allinearsi alle puntuali prescrizioni del progetto operativo di bonifica.</w:t>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283"/>
        <w:jc w:val="both"/>
        <w:rPr>
          <w:color w:val="00000A"/>
        </w:rPr>
      </w:pPr>
      <w:r>
        <w:rPr>
          <w:rFonts w:cs="Trebuchet MS" w:ascii="Trebuchet MS" w:hAnsi="Trebuchet MS"/>
          <w:color w:val="00000A"/>
          <w:sz w:val="22"/>
          <w:szCs w:val="22"/>
        </w:rPr>
        <w:t>-</w:t>
        <w:tab/>
      </w:r>
      <w:r>
        <w:rPr>
          <w:rFonts w:eastAsia="SimSun, 'Arial Unicode MS'" w:cs="Trebuchet MS" w:ascii="Trebuchet MS" w:hAnsi="Trebuchet MS"/>
          <w:color w:val="00000A"/>
          <w:sz w:val="22"/>
          <w:szCs w:val="22"/>
          <w:u w:val="single"/>
          <w:lang w:bidi="hi-IN"/>
        </w:rPr>
        <w:t>Quote di parcheggi pubblici (P2) e parcheggi pertinenziali (P1) del “PRU_IP-1a.bis” ed eventuali monetizzazioni</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color w:val="00000A"/>
        </w:rPr>
      </w:pPr>
      <w:r>
        <w:rPr>
          <w:rFonts w:cs="Trebuchet MS" w:ascii="Trebuchet MS" w:hAnsi="Trebuchet MS"/>
          <w:color w:val="00000A"/>
          <w:sz w:val="22"/>
        </w:rPr>
        <w:t xml:space="preserve">Nel </w:t>
      </w:r>
      <w:r>
        <w:rPr>
          <w:rFonts w:eastAsia="SimSun, 'Arial Unicode MS'" w:cs="Trebuchet MS" w:ascii="Trebuchet MS" w:hAnsi="Trebuchet MS"/>
          <w:color w:val="00000A"/>
          <w:sz w:val="22"/>
          <w:szCs w:val="22"/>
          <w:lang w:bidi="hi-IN"/>
        </w:rPr>
        <w:t>“PRU_IP-1a.bis”</w:t>
      </w:r>
      <w:r>
        <w:rPr>
          <w:rFonts w:cs="Trebuchet MS" w:ascii="Trebuchet MS" w:hAnsi="Trebuchet MS"/>
          <w:color w:val="00000A"/>
          <w:sz w:val="22"/>
        </w:rPr>
        <w:t xml:space="preserve"> la quantificazione della dotazione di parcheggi pubblici (P2) e di parcheggi pertinenziali (P1) è stata effettuata basandosi sulla combinazione di funzioni da insediare e insediabili di seguito descritta; tale combinazione, che assume come presupposto di base un verosimile ed equilibrato insediamento delle destinazioni ammesse nel sub-comparto, deve essere considerata, sia nelle quantità che nella localizzazione, unicamente nel suo valore di indirizzo/stima progettuale e pertanto, al fine di garantire una opportuna flessibilità degli usi insediabili che semplifichi l’attuazione degli interventi, indipendentemente da quanto in seguito schematizzato, sia la verifica delle effettive superfici da destinarsi a parcheggio (P1 e P2) che la loro effettiva localizzazione dovrà essere necessariamente effettuata nella fase esecutiva del Piano, in relazione alle funzioni che concretamente si insedieranno nell’area e alla quantificazione delle dotazioni disciplinate dalle NdA del RUE.</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10"/>
        </w:rPr>
        <w:t>Il calcolo delle quote di parcheggi pubblici (P2) e parcheggi pertinenziali (P1) fa riferimento, a seconda delle destinazioni d’uso insediate, sia alla superficie complessiva (Sc) che alla superficie utile (Su); la superficie utile complessiva prevista in attuazione del sub-comparto “PRU_IP-1a.bis” è la seguente:</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tbl>
      <w:tblPr>
        <w:tblW w:w="8958" w:type="dxa"/>
        <w:jc w:val="left"/>
        <w:tblInd w:w="894" w:type="dxa"/>
        <w:tblBorders/>
        <w:tblCellMar>
          <w:top w:w="55" w:type="dxa"/>
          <w:left w:w="55" w:type="dxa"/>
          <w:bottom w:w="55" w:type="dxa"/>
          <w:right w:w="55" w:type="dxa"/>
        </w:tblCellMar>
        <w:tblLook w:firstRow="0" w:noVBand="0" w:lastRow="0" w:firstColumn="0" w:lastColumn="0" w:noHBand="0" w:val="0000"/>
      </w:tblPr>
      <w:tblGrid>
        <w:gridCol w:w="6745"/>
        <w:gridCol w:w="566"/>
        <w:gridCol w:w="1647"/>
      </w:tblGrid>
      <w:tr>
        <w:trPr>
          <w:trHeight w:val="567" w:hRule="atLeast"/>
        </w:trPr>
        <w:tc>
          <w:tcPr>
            <w:tcW w:w="6745" w:type="dxa"/>
            <w:tcBorders/>
            <w:shd w:color="auto" w:fill="auto" w:val="clear"/>
            <w:vAlign w:val="center"/>
          </w:tcPr>
          <w:p>
            <w:pPr>
              <w:pStyle w:val="Contenutotabella"/>
              <w:tabs>
                <w:tab w:val="left" w:pos="180" w:leader="none"/>
                <w:tab w:val="left" w:pos="5580" w:leader="none"/>
              </w:tabs>
              <w:jc w:val="both"/>
              <w:rPr>
                <w:color w:val="00000A"/>
              </w:rPr>
            </w:pPr>
            <w:r>
              <w:rPr>
                <w:rFonts w:eastAsia="SimSun, 'Arial Unicode MS'" w:cs="Trebuchet MS" w:ascii="Trebuchet MS" w:hAnsi="Trebuchet MS"/>
                <w:color w:val="00000A"/>
                <w:sz w:val="22"/>
                <w:szCs w:val="22"/>
                <w:lang w:bidi="hi-IN"/>
              </w:rPr>
              <w:t xml:space="preserve">Su </w:t>
            </w:r>
            <w:r>
              <w:rPr>
                <w:rFonts w:eastAsia="SimSun, 'Arial Unicode MS'" w:cs="Trebuchet MS" w:ascii="Trebuchet MS" w:hAnsi="Trebuchet MS"/>
                <w:color w:val="00000A"/>
                <w:sz w:val="12"/>
                <w:szCs w:val="12"/>
                <w:lang w:bidi="hi-IN"/>
              </w:rPr>
              <w:t>(Superficie utile)</w:t>
            </w:r>
            <w:r>
              <w:rPr>
                <w:rFonts w:eastAsia="SimSun, 'Arial Unicode MS'" w:cs="Trebuchet MS" w:ascii="Trebuchet MS" w:hAnsi="Trebuchet MS"/>
                <w:color w:val="00000A"/>
                <w:sz w:val="22"/>
                <w:szCs w:val="22"/>
                <w:lang w:bidi="hi-IN"/>
              </w:rPr>
              <w:t xml:space="preserve"> prevista in </w:t>
            </w:r>
            <w:r>
              <w:rPr>
                <w:rFonts w:cs="Trebuchet MS" w:ascii="Trebuchet MS" w:hAnsi="Trebuchet MS"/>
                <w:color w:val="00000A"/>
                <w:sz w:val="22"/>
                <w:szCs w:val="22"/>
              </w:rPr>
              <w:t xml:space="preserve">attuazione </w:t>
            </w:r>
            <w:r>
              <w:rPr>
                <w:rStyle w:val="Enfasiforte"/>
                <w:rFonts w:cs="Trebuchet MS" w:ascii="Trebuchet MS" w:hAnsi="Trebuchet MS"/>
                <w:b w:val="false"/>
                <w:bCs w:val="false"/>
                <w:color w:val="00000A"/>
                <w:sz w:val="22"/>
                <w:szCs w:val="22"/>
              </w:rPr>
              <w:t xml:space="preserve">“PRU_IP-1a.bis” </w:t>
            </w:r>
            <w:r>
              <w:rPr>
                <w:rStyle w:val="Enfasiforte"/>
                <w:rFonts w:eastAsia="SimSun, 'Arial Unicode MS'" w:cs="Trebuchet MS" w:ascii="Trebuchet MS" w:hAnsi="Trebuchet MS"/>
                <w:b w:val="false"/>
                <w:bCs w:val="false"/>
                <w:color w:val="00000A"/>
                <w:sz w:val="22"/>
                <w:szCs w:val="22"/>
                <w:lang w:bidi="hi-IN"/>
              </w:rPr>
              <w:t>(di progetto)</w:t>
            </w:r>
          </w:p>
          <w:p>
            <w:pPr>
              <w:pStyle w:val="Contenutotabella"/>
              <w:tabs>
                <w:tab w:val="left" w:pos="180" w:leader="none"/>
                <w:tab w:val="left" w:pos="5580" w:leader="none"/>
              </w:tabs>
              <w:jc w:val="both"/>
              <w:rPr>
                <w:color w:val="00000A"/>
              </w:rPr>
            </w:pPr>
            <w:r>
              <w:rPr>
                <w:rStyle w:val="Enfasiforte"/>
                <w:rFonts w:eastAsia="SimSun, 'Arial Unicode MS'" w:cs="Trebuchet MS" w:ascii="Trebuchet MS" w:hAnsi="Trebuchet MS"/>
                <w:b w:val="false"/>
                <w:bCs w:val="false"/>
                <w:color w:val="00000A"/>
                <w:sz w:val="16"/>
                <w:szCs w:val="16"/>
                <w:lang w:bidi="hi-IN"/>
              </w:rPr>
              <w:t>(4.076 mq C17 + 7.005 mq C18 + 4.405 mq C15a + 4.834 mq C15b e C15c + 300 mq in Ve)</w:t>
            </w:r>
          </w:p>
        </w:tc>
        <w:tc>
          <w:tcPr>
            <w:tcW w:w="566" w:type="dxa"/>
            <w:tcBorders/>
            <w:shd w:color="auto" w:fill="auto" w:val="clear"/>
            <w:vAlign w:val="center"/>
          </w:tcPr>
          <w:p>
            <w:pPr>
              <w:pStyle w:val="Contenutotabella"/>
              <w:widowControl w:val="false"/>
              <w:tabs>
                <w:tab w:val="left" w:pos="180" w:leader="none"/>
              </w:tabs>
              <w:snapToGrid w:val="false"/>
              <w:jc w:val="both"/>
              <w:rPr>
                <w:rFonts w:ascii="Trebuchet MS" w:hAnsi="Trebuchet MS" w:cs="Trebuchet MS"/>
                <w:color w:val="00000A"/>
                <w:sz w:val="16"/>
                <w:szCs w:val="16"/>
              </w:rPr>
            </w:pPr>
            <w:r>
              <w:rPr>
                <w:rFonts w:cs="Trebuchet MS" w:ascii="Trebuchet MS" w:hAnsi="Trebuchet MS"/>
                <w:color w:val="00000A"/>
                <w:sz w:val="16"/>
                <w:szCs w:val="16"/>
              </w:rPr>
            </w:r>
          </w:p>
        </w:tc>
        <w:tc>
          <w:tcPr>
            <w:tcW w:w="1647" w:type="dxa"/>
            <w:tcBorders/>
            <w:shd w:color="auto" w:fill="auto" w:val="clear"/>
            <w:vAlign w:val="center"/>
          </w:tcPr>
          <w:p>
            <w:pPr>
              <w:pStyle w:val="Contenutotabella"/>
              <w:jc w:val="both"/>
              <w:rPr>
                <w:color w:val="00000A"/>
              </w:rPr>
            </w:pPr>
            <w:r>
              <w:rPr>
                <w:rFonts w:cs="Trebuchet MS" w:ascii="Trebuchet MS" w:hAnsi="Trebuchet MS"/>
                <w:color w:val="00000A"/>
                <w:sz w:val="22"/>
                <w:szCs w:val="22"/>
              </w:rPr>
              <w:t>20.620 mq</w:t>
            </w:r>
          </w:p>
        </w:tc>
      </w:tr>
    </w:tbl>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22"/>
        </w:rPr>
        <w:t>L’elaborazione di un “pre-progetto” di cui all’art. 18 comma 3, previo parere dei competenti uffici e della Commissione per la Qualità Architettonica e per il Paesaggio (CQAP), permetterà di calibrare le quote da destinare a parcheggi (P1 e P2) in relazione alle reali funzioni insediate e permetterà inoltre, una volta quantificate le superfici in gioco, di valutarne l’effettiva localizzazione sia all’interno del perimetro del sub-comparto “PRU_IP-1a.bis” che eventualmente all’esterno di esso, sfruttando la possibilità, contemplata nel pre-progetto, di proporre interventi di riuso, anche temporaneo, di aree e/o fabbricati extra-comparto, da destinare ad ospitare parcheggi (P1 e P2) all’esterno del perimetro del “PRU_IP-1a.bis”.</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t>Ai sensi dell’art. 3.1.8 delle NdA del RUE e in virtù dell’elevata dotazione di parcheggi pubblici (P2) presenti nell’area (piazzale Europa, CIM, ecc...) e della contiguità alla stazione ferroviaria e alla stazione dei bus è possibile prevedere nel sub-comparto “PRU_IP-1a.bis” l’eventuale “monetizzazione”, anche parziale, delle dotazioni a parcheggio pubblico (P2).</w:t>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uppressLineNumbers/>
        <w:snapToGrid w:val="false"/>
        <w:ind w:left="850" w:hanging="0"/>
        <w:jc w:val="both"/>
        <w:rPr>
          <w:color w:val="00000A"/>
        </w:rPr>
      </w:pPr>
      <w:r>
        <w:rPr>
          <w:rFonts w:cs="Trebuchet MS" w:ascii="Trebuchet MS" w:hAnsi="Trebuchet MS"/>
          <w:i/>
          <w:iCs/>
          <w:color w:val="00000A"/>
          <w:sz w:val="22"/>
          <w:u w:val="single"/>
        </w:rPr>
        <w:t>Capannone 17 e capannone 18</w:t>
      </w:r>
      <w:r>
        <w:rPr>
          <w:rFonts w:cs="Trebuchet MS" w:ascii="Trebuchet MS" w:hAnsi="Trebuchet MS"/>
          <w:color w:val="00000A"/>
          <w:sz w:val="22"/>
        </w:rPr>
        <w:t>:</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t>Per quel che riguarda i parcheggi pubblici (P2) e i parcheggi pertinenziali (P1) da prevedersi a seguito degli interventi sugli edifici che ricadono all’interno del perimetro del sub-comparto a suo tempo disciplinato dal “PRU_IP-1a” (capannone 17 e capannone 18) si aggiornano le modalità di calcolo dei parcheggi utilizzate in riferimento a tale PRU: la quantificazione dei parcheggi non viene infatti più effettuata ipotizzando l’insediamento di esclusive funzioni terziario-direzionali (allora erano quelle di maggior impatto, mentre oggi è possibile insediare in tali capannoni funzioni con maggiori esigenze di parcheggi), ma considerando le effettive funzioni che con buon margine di certezza si insedieranno nei fabbricati (ed assegnando ad esse le effettive superfici impegnate), continuando ad ipotizzare l’insediamento “presuntivo” di funzioni terziario-direzionali negli spazi ad oggi ancora non assegnati.</w:t>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22"/>
        </w:rPr>
        <w:t>In continuità con quanto previsto nel “PRU_IP-1a”, qualora tali contenitori vengano destinati ad usi che prevedono il reperimento di minori quantità di dotazioni (ad esempio produttivo manifatturiero e usi assimilabili), gli spazi in eccesso previsti nel presente PRU devono in ogni caso essere mantenuti (all’interno del perimetro del “PRU_IP-1a.bis” oppure, a seguito della presentazione di un “pre-progetto” di cui all’art. 18 comma 3 del PRU, che garantisca la funzionalità complessiva dell’insediamento, in ambiti esterni a tale perimetrazione) per essere considerati funzionali all’attuazione di ulteriori e successivi stralci del sub-ambito “Area Reggiane” del Polo funzionale PF-4 (fra i quali rientra anche il “PRU_IP-1a.bis” per la parte che estende il “PRU_IP-1a”).</w:t>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22"/>
        </w:rPr>
        <w:t>Nel caso in cui in fase esecutiva vengano invece introdotti in tali contenitori usi che, ai sensi del Capo 3.1 delle NdA del RUE, necessitano il reperimento di maggiori quantità di parcheggi rispetto a quelle ipotizzate, come ad esempio attività di formazione e di ricerca (uso b16) o attività ricreative, sportive e di spettacolo a forte concorso di pubblico (uso b14), sarà necessario reperire tali ulteriori quote di parcheggi nell’ambito del sub-comparto “PRU_IP-1a.bis” oppure, a seguito della presentazione di un “pre-progetto” di cui all’art. 18 comma 3 del PRU, che garantisca la funzionalità complessiva dell’insediamento, in ambiti esterni a tale perimetrazione.</w:t>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0"/>
        <w:jc w:val="both"/>
        <w:rPr>
          <w:rFonts w:ascii="Trebuchet MS" w:hAnsi="Trebuchet MS" w:cs="Trebuchet MS"/>
          <w:color w:val="00000A"/>
          <w:sz w:val="22"/>
          <w:szCs w:val="10"/>
        </w:rPr>
      </w:pPr>
      <w:r>
        <w:rPr>
          <w:rFonts w:cs="Trebuchet MS" w:ascii="Trebuchet MS" w:hAnsi="Trebuchet MS"/>
          <w:color w:val="00000A"/>
          <w:sz w:val="22"/>
          <w:szCs w:val="10"/>
        </w:rPr>
        <w:t>Il Capo 3.1 del RUE vigente prevede il reperimento delle seguenti quantità di parcheggi pubblici (P2) e pertinenziali (P1) in relazione alle funzioni insediate nel capannone 17 e nel capannone 18:</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Per funzioni connesse ad attività di alta formazione e ricerca (usi istruzione):</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(P2):</w:t>
        <w:tab/>
        <w:t>40 mq ogni 100 mq di Su (art. 3.1.6 NdA del RUE)</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(P1):</w:t>
        <w:tab/>
        <w:t>70 mq ogni 100 mq di Su (art. 3.1.5 NdA del RUE)</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Per funzioni di servizio e terziarie (usi direzionali):</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(P2):</w:t>
        <w:tab/>
        <w:t>40 mq ogni 100 mq di Su (art. 3.1.6 NdA del RUE)</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(P1):</w:t>
        <w:tab/>
        <w:t>40 mq ogni 100 mq di Su (art. 3.1.5 NdA del RUE)</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Per funzioni produttive manifatturiere e assimilabili (usi produttivi):</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(P2):</w:t>
        <w:tab/>
        <w:t>10 mq ogni 100 mq di Su (art. 3.1.6 NdA del RUE)</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(P1):</w:t>
        <w:tab/>
        <w:t>25 mq ogni 100 mq di Su (art. 3.1.5 NdA del RUE)</w:t>
      </w:r>
    </w:p>
    <w:p>
      <w:pPr>
        <w:pStyle w:val="Standard"/>
        <w:widowControl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Capannone 17:</w:t>
      </w:r>
    </w:p>
    <w:p>
      <w:pPr>
        <w:pStyle w:val="Standard"/>
        <w:widowControl w:val="false"/>
        <w:ind w:left="1417" w:hanging="567"/>
        <w:jc w:val="both"/>
        <w:rPr>
          <w:rFonts w:ascii="Trebuchet MS" w:hAnsi="Trebuchet MS" w:cs="Trebuchet MS"/>
          <w:color w:val="00000A"/>
          <w:sz w:val="10"/>
          <w:szCs w:val="10"/>
        </w:rPr>
      </w:pPr>
      <w:r>
        <w:rPr>
          <w:rFonts w:cs="Trebuchet MS" w:ascii="Trebuchet MS" w:hAnsi="Trebuchet MS"/>
          <w:color w:val="00000A"/>
          <w:sz w:val="10"/>
          <w:szCs w:val="10"/>
        </w:rPr>
      </w:r>
    </w:p>
    <w:tbl>
      <w:tblPr>
        <w:tblW w:w="8911" w:type="dxa"/>
        <w:jc w:val="left"/>
        <w:tblInd w:w="820" w:type="dxa"/>
        <w:tblBorders>
          <w:top w:val="single" w:sz="2" w:space="0" w:color="000001"/>
          <w:left w:val="single" w:sz="2" w:space="0" w:color="000001"/>
          <w:bottom w:val="single" w:sz="2" w:space="0" w:color="000001"/>
          <w:insideH w:val="single" w:sz="2" w:space="0" w:color="000001"/>
        </w:tblBorders>
        <w:tblCellMar>
          <w:top w:w="55" w:type="dxa"/>
          <w:left w:w="40" w:type="dxa"/>
          <w:bottom w:w="55" w:type="dxa"/>
          <w:right w:w="55" w:type="dxa"/>
        </w:tblCellMar>
        <w:tblLook w:firstRow="0" w:noVBand="0" w:lastRow="0" w:firstColumn="0" w:lastColumn="0" w:noHBand="0" w:val="0000"/>
      </w:tblPr>
      <w:tblGrid>
        <w:gridCol w:w="1358"/>
        <w:gridCol w:w="1358"/>
        <w:gridCol w:w="850"/>
        <w:gridCol w:w="2071"/>
        <w:gridCol w:w="2073"/>
        <w:gridCol w:w="1200"/>
      </w:tblGrid>
      <w:tr>
        <w:trPr/>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Area interessata</w:t>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Destinazione</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Su</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(mq)</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pubblici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(P2)</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pertinenziali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(P1)</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Totale area</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w:t>
            </w:r>
          </w:p>
        </w:tc>
      </w:tr>
      <w:tr>
        <w:trPr/>
        <w:tc>
          <w:tcPr>
            <w:tcW w:w="1358"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Capannone 17</w:t>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Usi direzionali</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jc w:val="center"/>
              <w:rPr>
                <w:rFonts w:ascii="Trebuchet MS" w:hAnsi="Trebuchet MS" w:cs="Trebuchet MS"/>
                <w:color w:val="00000A"/>
                <w:sz w:val="18"/>
                <w:szCs w:val="18"/>
              </w:rPr>
            </w:pPr>
            <w:r>
              <w:rPr>
                <w:rFonts w:cs="Trebuchet MS" w:ascii="Trebuchet MS" w:hAnsi="Trebuchet MS"/>
                <w:color w:val="00000A"/>
                <w:sz w:val="18"/>
                <w:szCs w:val="18"/>
              </w:rPr>
              <w:t>3.748</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1.499 mq</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1.499 mq</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2.998 mq</w:t>
            </w:r>
          </w:p>
        </w:tc>
      </w:tr>
      <w:tr>
        <w:trPr/>
        <w:tc>
          <w:tcPr>
            <w:tcW w:w="1358"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Normal"/>
              <w:rPr>
                <w:color w:val="00000A"/>
              </w:rPr>
            </w:pPr>
            <w:r>
              <w:rPr>
                <w:color w:val="00000A"/>
              </w:rPr>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Usi istruzione</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328</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131 mq</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230 mq</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361 mq</w:t>
            </w:r>
          </w:p>
        </w:tc>
      </w:tr>
      <w:tr>
        <w:trPr>
          <w:trHeight w:val="363" w:hRule="atLeast"/>
        </w:trPr>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totale</w:t>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snapToGrid w:val="false"/>
              <w:jc w:val="center"/>
              <w:rPr>
                <w:rFonts w:ascii="Trebuchet MS" w:hAnsi="Trebuchet MS" w:cs="Trebuchet MS"/>
                <w:color w:val="00000A"/>
                <w:sz w:val="18"/>
                <w:szCs w:val="18"/>
              </w:rPr>
            </w:pPr>
            <w:r>
              <w:rPr>
                <w:rFonts w:cs="Trebuchet MS" w:ascii="Trebuchet MS" w:hAnsi="Trebuchet MS"/>
                <w:color w:val="00000A"/>
                <w:sz w:val="18"/>
                <w:szCs w:val="18"/>
              </w:rPr>
              <w:t>/</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4.076</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1.630 mq</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1.729 mq</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3.359 mq</w:t>
            </w:r>
          </w:p>
        </w:tc>
      </w:tr>
    </w:tbl>
    <w:p>
      <w:pPr>
        <w:pStyle w:val="Standard"/>
        <w:widowControl w:val="false"/>
        <w:suppressLineNumbers/>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ind w:left="850" w:hanging="0"/>
        <w:jc w:val="both"/>
        <w:rPr>
          <w:rFonts w:ascii="Trebuchet MS" w:hAnsi="Trebuchet MS" w:cs="Trebuchet MS"/>
          <w:color w:val="00000A"/>
          <w:sz w:val="22"/>
          <w:szCs w:val="22"/>
        </w:rPr>
      </w:pPr>
      <w:r>
        <w:rPr>
          <w:rFonts w:cs="Trebuchet MS" w:ascii="Trebuchet MS" w:hAnsi="Trebuchet MS"/>
          <w:color w:val="00000A"/>
          <w:sz w:val="22"/>
          <w:szCs w:val="22"/>
        </w:rPr>
        <w:t>Considerando la superficie convenzionale di ogni posto auto pari a 25 mq (art. 3.1.4 delle NdA del RUE), 1.630 mq corrispondono a circa 65 posti auto (P2), 1.729 mq corrispondono a circa 69 posti auto (P1) e 3.359 mq corrispondono a circa 134 posti auto (P2 + P1).</w:t>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Capannone 18:</w:t>
      </w:r>
    </w:p>
    <w:p>
      <w:pPr>
        <w:pStyle w:val="Standard"/>
        <w:widowControl w:val="false"/>
        <w:ind w:left="1417" w:hanging="567"/>
        <w:jc w:val="both"/>
        <w:rPr>
          <w:rFonts w:ascii="Trebuchet MS" w:hAnsi="Trebuchet MS" w:cs="Trebuchet MS"/>
          <w:color w:val="00000A"/>
          <w:sz w:val="10"/>
          <w:szCs w:val="10"/>
        </w:rPr>
      </w:pPr>
      <w:r>
        <w:rPr>
          <w:rFonts w:cs="Trebuchet MS" w:ascii="Trebuchet MS" w:hAnsi="Trebuchet MS"/>
          <w:color w:val="00000A"/>
          <w:sz w:val="10"/>
          <w:szCs w:val="10"/>
        </w:rPr>
      </w:r>
    </w:p>
    <w:tbl>
      <w:tblPr>
        <w:tblW w:w="8911" w:type="dxa"/>
        <w:jc w:val="left"/>
        <w:tblInd w:w="820" w:type="dxa"/>
        <w:tblBorders>
          <w:top w:val="single" w:sz="2" w:space="0" w:color="000001"/>
          <w:left w:val="single" w:sz="2" w:space="0" w:color="000001"/>
          <w:bottom w:val="single" w:sz="2" w:space="0" w:color="000001"/>
          <w:insideH w:val="single" w:sz="2" w:space="0" w:color="000001"/>
        </w:tblBorders>
        <w:tblCellMar>
          <w:top w:w="55" w:type="dxa"/>
          <w:left w:w="40" w:type="dxa"/>
          <w:bottom w:w="55" w:type="dxa"/>
          <w:right w:w="55" w:type="dxa"/>
        </w:tblCellMar>
        <w:tblLook w:firstRow="0" w:noVBand="0" w:lastRow="0" w:firstColumn="0" w:lastColumn="0" w:noHBand="0" w:val="0000"/>
      </w:tblPr>
      <w:tblGrid>
        <w:gridCol w:w="1358"/>
        <w:gridCol w:w="1358"/>
        <w:gridCol w:w="850"/>
        <w:gridCol w:w="2071"/>
        <w:gridCol w:w="2073"/>
        <w:gridCol w:w="1200"/>
      </w:tblGrid>
      <w:tr>
        <w:trPr/>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Area interessata</w:t>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Destinazione</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Su</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(mq)</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pubblici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(P2)</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pertinenziali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(P1)</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vAlign w:val="cente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Totale area</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w:t>
            </w:r>
          </w:p>
        </w:tc>
      </w:tr>
      <w:tr>
        <w:trPr/>
        <w:tc>
          <w:tcPr>
            <w:tcW w:w="1358"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Capannone 18</w:t>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Usi direzionali</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jc w:val="center"/>
              <w:rPr>
                <w:rFonts w:ascii="Trebuchet MS" w:hAnsi="Trebuchet MS" w:cs="Trebuchet MS"/>
                <w:color w:val="00000A"/>
                <w:sz w:val="18"/>
                <w:szCs w:val="18"/>
              </w:rPr>
            </w:pPr>
            <w:r>
              <w:rPr>
                <w:rFonts w:cs="Trebuchet MS" w:ascii="Trebuchet MS" w:hAnsi="Trebuchet MS"/>
                <w:color w:val="00000A"/>
                <w:sz w:val="18"/>
                <w:szCs w:val="18"/>
              </w:rPr>
              <w:t>4.039</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1.616 mq</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1.616 mq</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3.232 mq</w:t>
            </w:r>
          </w:p>
        </w:tc>
      </w:tr>
      <w:tr>
        <w:trPr/>
        <w:tc>
          <w:tcPr>
            <w:tcW w:w="1358"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Normal"/>
              <w:rPr>
                <w:color w:val="00000A"/>
              </w:rPr>
            </w:pPr>
            <w:r>
              <w:rPr>
                <w:color w:val="00000A"/>
              </w:rPr>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Usi produttivi</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2.966</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297 mq</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742 mq</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1.039 mq</w:t>
            </w:r>
          </w:p>
        </w:tc>
      </w:tr>
      <w:tr>
        <w:trPr>
          <w:trHeight w:val="363" w:hRule="atLeast"/>
        </w:trPr>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totale</w:t>
            </w:r>
          </w:p>
        </w:tc>
        <w:tc>
          <w:tcPr>
            <w:tcW w:w="135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snapToGrid w:val="false"/>
              <w:jc w:val="center"/>
              <w:rPr>
                <w:rFonts w:ascii="Trebuchet MS" w:hAnsi="Trebuchet MS" w:cs="Trebuchet MS"/>
                <w:color w:val="00000A"/>
                <w:sz w:val="18"/>
                <w:szCs w:val="18"/>
              </w:rPr>
            </w:pPr>
            <w:r>
              <w:rPr>
                <w:rFonts w:cs="Trebuchet MS" w:ascii="Trebuchet MS" w:hAnsi="Trebuchet MS"/>
                <w:color w:val="00000A"/>
                <w:sz w:val="18"/>
                <w:szCs w:val="18"/>
              </w:rPr>
              <w:t>/</w:t>
            </w:r>
          </w:p>
        </w:tc>
        <w:tc>
          <w:tcPr>
            <w:tcW w:w="85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7.005</w:t>
            </w:r>
          </w:p>
        </w:tc>
        <w:tc>
          <w:tcPr>
            <w:tcW w:w="2071"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1.913 mq</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2.358 mq</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4.271 mq</w:t>
            </w:r>
          </w:p>
        </w:tc>
      </w:tr>
    </w:tbl>
    <w:p>
      <w:pPr>
        <w:pStyle w:val="Standard"/>
        <w:widowControl w:val="false"/>
        <w:suppressLineNumbers/>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ind w:left="850" w:hanging="0"/>
        <w:jc w:val="both"/>
        <w:rPr>
          <w:rFonts w:ascii="Trebuchet MS" w:hAnsi="Trebuchet MS" w:cs="Trebuchet MS"/>
          <w:color w:val="00000A"/>
          <w:sz w:val="22"/>
          <w:szCs w:val="22"/>
        </w:rPr>
      </w:pPr>
      <w:r>
        <w:rPr>
          <w:rFonts w:cs="Trebuchet MS" w:ascii="Trebuchet MS" w:hAnsi="Trebuchet MS"/>
          <w:color w:val="00000A"/>
          <w:sz w:val="22"/>
          <w:szCs w:val="22"/>
        </w:rPr>
        <w:t>Considerando la superficie convenzionale di ogni posto auto pari a 25 mq (art. 3.1.4 delle NdA del RUE), 1.913 mq corrispondono a circa 76 posti auto (P2), 2.358 mq corrispondono a circa 95 posti auto (P1) e 4.271 mq corrispondono a circa 171 posti auto (P2 + P1).</w:t>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uppressLineNumbers/>
        <w:snapToGrid w:val="false"/>
        <w:ind w:left="850" w:hanging="0"/>
        <w:jc w:val="both"/>
        <w:rPr>
          <w:color w:val="00000A"/>
        </w:rPr>
      </w:pPr>
      <w:r>
        <w:rPr>
          <w:rFonts w:cs="Trebuchet MS" w:ascii="Trebuchet MS" w:hAnsi="Trebuchet MS"/>
          <w:i/>
          <w:iCs/>
          <w:color w:val="00000A"/>
          <w:sz w:val="22"/>
          <w:u w:val="single"/>
        </w:rPr>
        <w:t>Capannone 15b e capannone 15c</w:t>
      </w:r>
      <w:r>
        <w:rPr>
          <w:rFonts w:cs="Trebuchet MS" w:ascii="Trebuchet MS" w:hAnsi="Trebuchet MS"/>
          <w:color w:val="00000A"/>
          <w:sz w:val="22"/>
        </w:rPr>
        <w:t>:</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22"/>
        </w:rPr>
        <w:t>Per quel che riguarda i parcheggi pubblici (P2) e i parcheggi pertinenziali (P1) da prevedersi a seguito degli interventi sui capannoni 15b e 15c, che ricadono all’interno del perimetro del sub-comparto “PRU_IP-1a.bis” nella parte che estende il “PRU_IP-1a”, si assume come ipotesi di base l’insediamento “presuntivo” di attività terziarie-direzionali su tutta la superficie utile dei capannoni. L’insediamento di tali attività è ad oggi il più probabile in fase esecutiva e comporta la previsione nel PRU di elevate quantità di parcheggi; per tale motivo si demanda alla fase esecutiva l’effettiva quantificazione dei parcheggi da reperire in funzione delle effettive destinazioni d’uso che verranno di volta in volta assegnate agli spazi del capannone 15b e del capannone 15c. In analogia a quanto previsto per il capannone 17 e per il capannone 18, nel caso in cui in fase esecutiva vengano introdotti nel capannone 15b e/o nel capannone 15c usi che, ai sensi del Capo 3.1 delle NdA del RUE, necessitano il reperimento di maggiori quantità di parcheggi rispetto a quelle ipotizzate, come ad esempio attività di formazione e di ricerca (uso b16) o attività ricreative, sportive e di spettacolo a forte concorso di pubblico (uso b14), sarà in questo caso necessario reperire tali ulteriori quote di parcheggi nell’ambito del sub-comparto “PRU_IP-1a.bis”, sfruttando le eventuali “eccedenze” di parcheggi di altri capannoni, oppure, a seguito della presentazione di un “pre-progetto” di cui all’art. 18 comma 3 del PRU, che garantisca la funzionalità complessiva dell’insediamento, in ambiti esterni a tale perimetrazione.</w:t>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0"/>
        <w:jc w:val="both"/>
        <w:rPr>
          <w:rFonts w:ascii="Trebuchet MS" w:hAnsi="Trebuchet MS" w:cs="Trebuchet MS"/>
          <w:color w:val="00000A"/>
          <w:sz w:val="22"/>
          <w:szCs w:val="10"/>
        </w:rPr>
      </w:pPr>
      <w:r>
        <w:rPr>
          <w:rFonts w:cs="Trebuchet MS" w:ascii="Trebuchet MS" w:hAnsi="Trebuchet MS"/>
          <w:color w:val="00000A"/>
          <w:sz w:val="22"/>
          <w:szCs w:val="10"/>
        </w:rPr>
        <w:t>Il Capo 3.1 del RUE vigente prevede il reperimento delle seguenti quantità di parcheggi pubblici (P2) e pertinenziali (P1) in relazione alle funzioni ipotizzate nel capannone 15b e nel capannone 15c:</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Per funzioni di servizio e terziarie (usi direzionali):</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(P2):</w:t>
        <w:tab/>
        <w:t>40 mq ogni 100 mq di Su (art. 3.1.6 NdA del RUE)</w:t>
      </w:r>
    </w:p>
    <w:p>
      <w:pPr>
        <w:pStyle w:val="Standard"/>
        <w:widowControl w:val="false"/>
        <w:ind w:left="1417" w:hanging="567"/>
        <w:jc w:val="both"/>
        <w:rPr>
          <w:rFonts w:ascii="Trebuchet MS" w:hAnsi="Trebuchet MS" w:cs="Trebuchet MS"/>
          <w:color w:val="00000A"/>
          <w:sz w:val="22"/>
          <w:szCs w:val="22"/>
        </w:rPr>
      </w:pPr>
      <w:r>
        <w:rPr>
          <w:rFonts w:cs="Trebuchet MS" w:ascii="Trebuchet MS" w:hAnsi="Trebuchet MS"/>
          <w:color w:val="00000A"/>
          <w:sz w:val="22"/>
          <w:szCs w:val="22"/>
        </w:rPr>
        <w:t>(P1):</w:t>
        <w:tab/>
        <w:t>40 mq ogni 100 mq di Su (art. 3.1.5 NdA del RUE)</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tbl>
      <w:tblPr>
        <w:tblW w:w="8910" w:type="dxa"/>
        <w:jc w:val="left"/>
        <w:tblInd w:w="820" w:type="dxa"/>
        <w:tblBorders>
          <w:top w:val="single" w:sz="2" w:space="0" w:color="000001"/>
          <w:left w:val="single" w:sz="2" w:space="0" w:color="000001"/>
          <w:bottom w:val="single" w:sz="2" w:space="0" w:color="000001"/>
          <w:insideH w:val="single" w:sz="2" w:space="0" w:color="000001"/>
        </w:tblBorders>
        <w:tblCellMar>
          <w:top w:w="55" w:type="dxa"/>
          <w:left w:w="40" w:type="dxa"/>
          <w:bottom w:w="55" w:type="dxa"/>
          <w:right w:w="55" w:type="dxa"/>
        </w:tblCellMar>
        <w:tblLook w:firstRow="0" w:noVBand="0" w:lastRow="0" w:firstColumn="0" w:lastColumn="0" w:noHBand="0" w:val="0000"/>
      </w:tblPr>
      <w:tblGrid>
        <w:gridCol w:w="1356"/>
        <w:gridCol w:w="1308"/>
        <w:gridCol w:w="900"/>
        <w:gridCol w:w="2073"/>
        <w:gridCol w:w="2072"/>
        <w:gridCol w:w="1200"/>
      </w:tblGrid>
      <w:tr>
        <w:trPr/>
        <w:tc>
          <w:tcPr>
            <w:tcW w:w="135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Area interessata</w:t>
            </w:r>
          </w:p>
        </w:tc>
        <w:tc>
          <w:tcPr>
            <w:tcW w:w="1308"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Destinazione presunta</w:t>
            </w:r>
          </w:p>
        </w:tc>
        <w:tc>
          <w:tcPr>
            <w:tcW w:w="9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Su</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(mq)</w:t>
            </w:r>
          </w:p>
        </w:tc>
        <w:tc>
          <w:tcPr>
            <w:tcW w:w="207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pubblici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(P2)</w:t>
            </w:r>
          </w:p>
        </w:tc>
        <w:tc>
          <w:tcPr>
            <w:tcW w:w="207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pertinenziali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(P1)</w:t>
            </w:r>
          </w:p>
        </w:tc>
        <w:tc>
          <w:tcPr>
            <w:tcW w:w="12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Totale area</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w:t>
            </w:r>
          </w:p>
        </w:tc>
      </w:tr>
      <w:tr>
        <w:trPr/>
        <w:tc>
          <w:tcPr>
            <w:tcW w:w="135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Capannone 15b</w:t>
            </w:r>
          </w:p>
        </w:tc>
        <w:tc>
          <w:tcPr>
            <w:tcW w:w="1308"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Usi direzionali</w:t>
            </w:r>
          </w:p>
        </w:tc>
        <w:tc>
          <w:tcPr>
            <w:tcW w:w="900"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4.834 mq</w:t>
            </w:r>
          </w:p>
        </w:tc>
        <w:tc>
          <w:tcPr>
            <w:tcW w:w="2073"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1.934 mq</w:t>
            </w:r>
          </w:p>
        </w:tc>
        <w:tc>
          <w:tcPr>
            <w:tcW w:w="2072" w:type="dxa"/>
            <w:vMerge w:val="restart"/>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1.934 mq</w:t>
            </w:r>
          </w:p>
        </w:tc>
        <w:tc>
          <w:tcPr>
            <w:tcW w:w="1200" w:type="dxa"/>
            <w:vMerge w:val="restart"/>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vAlign w:val="cente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3.868 mq</w:t>
            </w:r>
          </w:p>
        </w:tc>
      </w:tr>
      <w:tr>
        <w:trPr/>
        <w:tc>
          <w:tcPr>
            <w:tcW w:w="135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Capannone 15c</w:t>
            </w:r>
          </w:p>
        </w:tc>
        <w:tc>
          <w:tcPr>
            <w:tcW w:w="1308"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Normal"/>
              <w:rPr>
                <w:color w:val="00000A"/>
              </w:rPr>
            </w:pPr>
            <w:r>
              <w:rPr>
                <w:color w:val="00000A"/>
              </w:rPr>
            </w:r>
          </w:p>
        </w:tc>
        <w:tc>
          <w:tcPr>
            <w:tcW w:w="900"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Normal"/>
              <w:rPr>
                <w:color w:val="00000A"/>
              </w:rPr>
            </w:pPr>
            <w:r>
              <w:rPr>
                <w:color w:val="00000A"/>
              </w:rPr>
            </w:r>
          </w:p>
        </w:tc>
        <w:tc>
          <w:tcPr>
            <w:tcW w:w="2073"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Normal"/>
              <w:rPr>
                <w:color w:val="00000A"/>
              </w:rPr>
            </w:pPr>
            <w:r>
              <w:rPr>
                <w:color w:val="00000A"/>
              </w:rPr>
            </w:r>
          </w:p>
        </w:tc>
        <w:tc>
          <w:tcPr>
            <w:tcW w:w="2072" w:type="dxa"/>
            <w:vMerge w:val="continue"/>
            <w:tcBorders>
              <w:top w:val="single" w:sz="2" w:space="0" w:color="000001"/>
              <w:left w:val="single" w:sz="2" w:space="0" w:color="000001"/>
              <w:bottom w:val="single" w:sz="2" w:space="0" w:color="000001"/>
              <w:insideH w:val="single" w:sz="2" w:space="0" w:color="000001"/>
            </w:tcBorders>
            <w:shd w:color="auto" w:fill="auto" w:val="clear"/>
            <w:tcMar>
              <w:left w:w="40" w:type="dxa"/>
            </w:tcMar>
            <w:vAlign w:val="center"/>
          </w:tcPr>
          <w:p>
            <w:pPr>
              <w:pStyle w:val="Normal"/>
              <w:rPr>
                <w:color w:val="00000A"/>
              </w:rPr>
            </w:pPr>
            <w:r>
              <w:rPr>
                <w:color w:val="00000A"/>
              </w:rPr>
            </w:r>
          </w:p>
        </w:tc>
        <w:tc>
          <w:tcPr>
            <w:tcW w:w="1200" w:type="dxa"/>
            <w:vMerge w:val="continue"/>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vAlign w:val="center"/>
          </w:tcPr>
          <w:p>
            <w:pPr>
              <w:pStyle w:val="Normal"/>
              <w:rPr>
                <w:color w:val="00000A"/>
              </w:rPr>
            </w:pPr>
            <w:r>
              <w:rPr>
                <w:color w:val="00000A"/>
              </w:rPr>
            </w:r>
          </w:p>
        </w:tc>
      </w:tr>
    </w:tbl>
    <w:p>
      <w:pPr>
        <w:pStyle w:val="Standard"/>
        <w:widowControl w:val="false"/>
        <w:suppressLineNumbers/>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ind w:left="850" w:hanging="0"/>
        <w:jc w:val="both"/>
        <w:rPr>
          <w:rFonts w:ascii="Trebuchet MS" w:hAnsi="Trebuchet MS" w:cs="Trebuchet MS"/>
          <w:color w:val="00000A"/>
          <w:sz w:val="22"/>
          <w:szCs w:val="22"/>
        </w:rPr>
      </w:pPr>
      <w:r>
        <w:rPr>
          <w:rFonts w:cs="Trebuchet MS" w:ascii="Trebuchet MS" w:hAnsi="Trebuchet MS"/>
          <w:color w:val="00000A"/>
          <w:sz w:val="22"/>
          <w:szCs w:val="22"/>
        </w:rPr>
        <w:t>Considerando la superficie convenzionale di ogni posto auto pari a 25 mq (art. 3.1.4 delle NdA del RUE), 1.934 mq corrispondono a circa 77 posti auto (P2 e P2) e 3.868 mq corrispondono a 144 posti auto (P2 + P1).</w:t>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uppressLineNumbers/>
        <w:snapToGrid w:val="false"/>
        <w:ind w:left="850" w:hanging="0"/>
        <w:jc w:val="both"/>
        <w:rPr>
          <w:color w:val="00000A"/>
        </w:rPr>
      </w:pPr>
      <w:r>
        <w:rPr>
          <w:rFonts w:cs="Trebuchet MS" w:ascii="Trebuchet MS" w:hAnsi="Trebuchet MS"/>
          <w:i/>
          <w:iCs/>
          <w:color w:val="00000A"/>
          <w:sz w:val="22"/>
          <w:u w:val="single"/>
        </w:rPr>
        <w:t>Capannone 15a</w:t>
      </w:r>
      <w:r>
        <w:rPr>
          <w:rFonts w:cs="Trebuchet MS" w:ascii="Trebuchet MS" w:hAnsi="Trebuchet MS"/>
          <w:color w:val="00000A"/>
          <w:sz w:val="22"/>
        </w:rPr>
        <w:t>:</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22"/>
        </w:rPr>
        <w:t>Per quel che riguarda i parcheggi pubblici (P2) e i parcheggi pertinenziali (P1) da prevedersi per gli interventi sul capannone 15a, che ricade all’interno del perimetro del sub-comparto “PRU_IP-1a.bis”, nella parte che estende il “PRU_IP-1a”, si assume come ipotesi di base l’insediamento di attività ricreative, sportive e di spettacolo a forte concorso di pubblico (uso b14). L’insediamento di tali attività a marcata funzione collettiva necessita (fra le funzioni ammesse nel presente PRU) il reperimento delle maggiori quantità di parcheggio e pertanto, al fine di permetterne anche in futuro l’insediamento, nel caso in cui in fase esecutiva vengano introdotti in tale contenitore usi che, ai sensi del Capo 3.1 delle NdA del RUE, necessitano di minori quantità rispetto a quelle ipotizzate, rimarrà in ogni caso obbligatorio prevedere il reperimento delle superfici in eccesso o all’interno del sub-comparto “PRU_IP-1a.bis”, destinando aree a verde permeabile e/o a piazzali in modo da poterle in futuro utilizzare, eventualmente anche con minimi interventi edilizi, per soddisfare le eventuali future richieste di spazi a parcheggio oppure all’esterno del sub-comparto “PRU_IP-1a.bis”, a seguito della presentazione di un “pre-progetto” di cui all’art. 18 comma 3 del PRU, che impegni adeguate superfici al fine di garantire la funzionalità complessiva dell’insediamento.</w:t>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22"/>
        </w:rPr>
        <w:t>In riferimento al capannone 15a, è inoltre ammissibile, ai sensi dell’art. 3.1.6 delle NdA del RUE, una riduzione delle aree destinate ad ospitare parcheggi pubblici (P2) nel caso in cui le funzioni insediate siano caratterizzate da un uso sfalsato nel tempo degli spazi di sosta e parcheggio che dovranno comunque, in ogni caso, garantire adeguati standard di funzionalità.</w:t>
      </w:r>
    </w:p>
    <w:p>
      <w:pPr>
        <w:pStyle w:val="Standard"/>
        <w:widowControl w:val="false"/>
        <w:suppressLineNumbers/>
        <w:snapToGrid w:val="false"/>
        <w:ind w:left="850" w:hanging="0"/>
        <w:jc w:val="both"/>
        <w:rPr>
          <w:color w:val="00000A"/>
        </w:rPr>
      </w:pPr>
      <w:r>
        <w:rPr>
          <w:rFonts w:cs="Trebuchet MS" w:ascii="Trebuchet MS" w:hAnsi="Trebuchet MS"/>
          <w:color w:val="00000A"/>
          <w:sz w:val="22"/>
          <w:szCs w:val="22"/>
        </w:rPr>
        <w:t>La quota dei parcheggi pubblici (P2) connessa alla trasformazione del capannone 15a, nel caso sia destinato ad ospitare attività ricreative, sportive e di spettacolo a forte concorso di pubblico (uso b14), può essere ridotta del 30%.</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t>Per quel che riguarda le aree da destinare a parcheggi pertinenziali (P1), in virtù dell’elevato grado di strutturazione dell’area e del suo sistema di accessi e mobilità pubblica, valutando le quantità di parcheggi presenti nell’ambito e la possibilità di un loro utilizzo sfalsato nel tempo, si ritiene coerente calcolare le quote da considerare nel presente PRU utilizzando la metodologia di calcolo (art. 3.1.5 NdA del RUE) riferita alla superficie complessiva (Sc) dell’edificio: tale metodologia di calcolo (25 mq di parcheggio ogni 12 mq di Sc) permette in questo caso di prevedere quote di parcheggi “mediate e verosimili” rispetto al calcolo (art. 3.1.5 NdA del RUE) effettuato basandosi o sulla capienza di pubblico autorizzata (25 mq di parcheggio ogni 3 posti di capienza), che richiederebbe superfici estremamente sovradimensionate (non verosimili), o sulla Sf superficie fondiaria (25 mq di parcheggio ogni 100 mq di Sf), che richiederebbe superfici estremamente limitate.</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szCs w:val="10"/>
        </w:rPr>
      </w:pPr>
      <w:r>
        <w:rPr>
          <w:rFonts w:cs="Trebuchet MS" w:ascii="Trebuchet MS" w:hAnsi="Trebuchet MS"/>
          <w:color w:val="00000A"/>
          <w:sz w:val="22"/>
          <w:szCs w:val="10"/>
        </w:rPr>
        <w:t>Il Capo 3.1 del RUE vigente prevede il reperimento delle seguenti quantità di parcheggi pubblici (P2) e pertinenziali (P1) in relazione alle funzioni ipotizzate nel capannone 15a:</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color w:val="00000A"/>
        </w:rPr>
      </w:pPr>
      <w:r>
        <w:rPr>
          <w:rFonts w:cs="Trebuchet MS" w:ascii="Trebuchet MS" w:hAnsi="Trebuchet MS"/>
          <w:color w:val="00000A"/>
          <w:sz w:val="22"/>
        </w:rPr>
        <w:t xml:space="preserve">Per funzioni </w:t>
      </w:r>
      <w:r>
        <w:rPr>
          <w:rFonts w:cs="Trebuchet MS" w:ascii="Trebuchet MS" w:hAnsi="Trebuchet MS"/>
          <w:color w:val="00000A"/>
          <w:sz w:val="22"/>
          <w:szCs w:val="22"/>
        </w:rPr>
        <w:t>ricreative, sportive e di spettacolo a forte concorso di pubblico (usi ricreativi)</w:t>
      </w:r>
      <w:r>
        <w:rPr>
          <w:rFonts w:cs="Trebuchet MS" w:ascii="Trebuchet MS" w:hAnsi="Trebuchet MS"/>
          <w:color w:val="00000A"/>
          <w:sz w:val="22"/>
        </w:rPr>
        <w:t>:</w:t>
      </w:r>
    </w:p>
    <w:p>
      <w:pPr>
        <w:pStyle w:val="Standard"/>
        <w:widowControl w:val="false"/>
        <w:ind w:left="1417" w:hanging="567"/>
        <w:jc w:val="both"/>
        <w:rPr>
          <w:rFonts w:ascii="Trebuchet MS" w:hAnsi="Trebuchet MS" w:cs="Trebuchet MS"/>
          <w:color w:val="00000A"/>
          <w:sz w:val="22"/>
        </w:rPr>
      </w:pPr>
      <w:r>
        <w:rPr>
          <w:rFonts w:cs="Trebuchet MS" w:ascii="Trebuchet MS" w:hAnsi="Trebuchet MS"/>
          <w:color w:val="00000A"/>
          <w:sz w:val="22"/>
        </w:rPr>
        <w:t>(P2):</w:t>
        <w:tab/>
        <w:t>70 mq ogni 100 mq di Su - 30% (art. 3.1.6 NdA del RUE)</w:t>
      </w:r>
    </w:p>
    <w:p>
      <w:pPr>
        <w:pStyle w:val="Standard"/>
        <w:widowControl w:val="false"/>
        <w:ind w:left="1417" w:hanging="567"/>
        <w:jc w:val="both"/>
        <w:rPr>
          <w:rFonts w:ascii="Trebuchet MS" w:hAnsi="Trebuchet MS" w:cs="Trebuchet MS"/>
          <w:color w:val="00000A"/>
          <w:sz w:val="22"/>
        </w:rPr>
      </w:pPr>
      <w:r>
        <w:rPr>
          <w:rFonts w:cs="Trebuchet MS" w:ascii="Trebuchet MS" w:hAnsi="Trebuchet MS"/>
          <w:color w:val="00000A"/>
          <w:sz w:val="22"/>
        </w:rPr>
        <w:t>(P1):</w:t>
        <w:tab/>
        <w:t>25 mq ogni 12 mq di Sc (art. 3.1.5 NdA del RUE)</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Calcolo della dotazione di parcheggi pubblici (P2) con la riduzione del 30% a seguito dell’applicazione dell’art. 3.1.6 delle NdA del RUE:</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70 mq ogni 100 mq di Su - 30% = 4.405 (Su) / 100 x 70 - 30% = 3.084 x 0,7 = 2.158 mq</w:t>
      </w:r>
    </w:p>
    <w:p>
      <w:pPr>
        <w:pStyle w:val="Standard"/>
        <w:widowControl w:val="false"/>
        <w:ind w:left="850" w:hanging="0"/>
        <w:jc w:val="both"/>
        <w:rPr>
          <w:color w:val="00000A"/>
        </w:rPr>
      </w:pPr>
      <w:r>
        <w:rPr>
          <w:rFonts w:cs="Trebuchet MS" w:ascii="Trebuchet MS" w:hAnsi="Trebuchet MS"/>
          <w:color w:val="00000A"/>
          <w:sz w:val="22"/>
        </w:rPr>
        <w:t xml:space="preserve">Calcolo della dotazione di parcheggi pertinenziali (P1) </w:t>
      </w:r>
      <w:r>
        <w:rPr>
          <w:rFonts w:cs="Trebuchet MS" w:ascii="Trebuchet MS" w:hAnsi="Trebuchet MS"/>
          <w:color w:val="00000A"/>
          <w:sz w:val="22"/>
          <w:szCs w:val="22"/>
        </w:rPr>
        <w:t>riferita alla Sc</w:t>
      </w:r>
      <w:r>
        <w:rPr>
          <w:rFonts w:cs="Trebuchet MS" w:ascii="Trebuchet MS" w:hAnsi="Trebuchet MS"/>
          <w:color w:val="00000A"/>
          <w:sz w:val="22"/>
        </w:rPr>
        <w:t>:</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w:t>
        <w:tab/>
        <w:t>25 mq ogni 12 mq di Sc = 4.405 (Sc) / 12 x 25 = 9.177 mq;</w:t>
      </w:r>
    </w:p>
    <w:p>
      <w:pPr>
        <w:pStyle w:val="Standard"/>
        <w:widowControl w:val="false"/>
        <w:ind w:left="1134" w:hanging="283"/>
        <w:jc w:val="both"/>
        <w:rPr>
          <w:rFonts w:ascii="Trebuchet MS" w:hAnsi="Trebuchet MS" w:cs="Trebuchet MS"/>
          <w:color w:val="00000A"/>
          <w:sz w:val="10"/>
          <w:szCs w:val="10"/>
        </w:rPr>
      </w:pPr>
      <w:r>
        <w:rPr>
          <w:rFonts w:cs="Trebuchet MS" w:ascii="Trebuchet MS" w:hAnsi="Trebuchet MS"/>
          <w:color w:val="00000A"/>
          <w:sz w:val="10"/>
          <w:szCs w:val="10"/>
        </w:rPr>
      </w:r>
    </w:p>
    <w:tbl>
      <w:tblPr>
        <w:tblW w:w="8910" w:type="dxa"/>
        <w:jc w:val="left"/>
        <w:tblInd w:w="820" w:type="dxa"/>
        <w:tblBorders>
          <w:top w:val="single" w:sz="2" w:space="0" w:color="000001"/>
          <w:left w:val="single" w:sz="2" w:space="0" w:color="000001"/>
          <w:bottom w:val="single" w:sz="2" w:space="0" w:color="000001"/>
          <w:insideH w:val="single" w:sz="2" w:space="0" w:color="000001"/>
        </w:tblBorders>
        <w:tblCellMar>
          <w:top w:w="55" w:type="dxa"/>
          <w:left w:w="40" w:type="dxa"/>
          <w:bottom w:w="55" w:type="dxa"/>
          <w:right w:w="55" w:type="dxa"/>
        </w:tblCellMar>
        <w:tblLook w:firstRow="0" w:noVBand="0" w:lastRow="0" w:firstColumn="0" w:lastColumn="0" w:noHBand="0" w:val="0000"/>
      </w:tblPr>
      <w:tblGrid>
        <w:gridCol w:w="1356"/>
        <w:gridCol w:w="1357"/>
        <w:gridCol w:w="2495"/>
        <w:gridCol w:w="2497"/>
        <w:gridCol w:w="1205"/>
      </w:tblGrid>
      <w:tr>
        <w:trPr/>
        <w:tc>
          <w:tcPr>
            <w:tcW w:w="135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Area interessata</w:t>
            </w:r>
          </w:p>
        </w:tc>
        <w:tc>
          <w:tcPr>
            <w:tcW w:w="1357"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Destinazione presunta</w:t>
            </w:r>
          </w:p>
        </w:tc>
        <w:tc>
          <w:tcPr>
            <w:tcW w:w="2495"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pubblici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(P2) - 30% calcolati su Su</w:t>
            </w:r>
          </w:p>
        </w:tc>
        <w:tc>
          <w:tcPr>
            <w:tcW w:w="2497"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 pertinenziali</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(P1) calcolati su Sc</w:t>
            </w:r>
          </w:p>
        </w:tc>
        <w:tc>
          <w:tcPr>
            <w:tcW w:w="12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Totale area</w:t>
            </w:r>
          </w:p>
          <w:p>
            <w:pPr>
              <w:pStyle w:val="Contenutotabella"/>
              <w:jc w:val="center"/>
              <w:rPr>
                <w:rFonts w:ascii="Trebuchet MS" w:hAnsi="Trebuchet MS" w:cs="Trebuchet MS"/>
                <w:b/>
                <w:b/>
                <w:bCs/>
                <w:color w:val="00000A"/>
                <w:sz w:val="18"/>
                <w:szCs w:val="18"/>
              </w:rPr>
            </w:pPr>
            <w:r>
              <w:rPr>
                <w:rFonts w:cs="Trebuchet MS" w:ascii="Trebuchet MS" w:hAnsi="Trebuchet MS"/>
                <w:b/>
                <w:bCs/>
                <w:color w:val="00000A"/>
                <w:sz w:val="18"/>
                <w:szCs w:val="18"/>
              </w:rPr>
              <w:t>parcheggi</w:t>
            </w:r>
          </w:p>
        </w:tc>
      </w:tr>
      <w:tr>
        <w:trPr/>
        <w:tc>
          <w:tcPr>
            <w:tcW w:w="135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Capannone 15a</w:t>
            </w:r>
          </w:p>
        </w:tc>
        <w:tc>
          <w:tcPr>
            <w:tcW w:w="1357"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cs="Trebuchet MS"/>
                <w:color w:val="00000A"/>
                <w:sz w:val="18"/>
                <w:szCs w:val="18"/>
              </w:rPr>
            </w:pPr>
            <w:r>
              <w:rPr>
                <w:rFonts w:cs="Trebuchet MS" w:ascii="Trebuchet MS" w:hAnsi="Trebuchet MS"/>
                <w:color w:val="00000A"/>
                <w:sz w:val="18"/>
                <w:szCs w:val="18"/>
              </w:rPr>
              <w:t>Usi ricreativi</w:t>
            </w:r>
          </w:p>
        </w:tc>
        <w:tc>
          <w:tcPr>
            <w:tcW w:w="2495"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2.158 mq</w:t>
            </w:r>
          </w:p>
        </w:tc>
        <w:tc>
          <w:tcPr>
            <w:tcW w:w="2497"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nutotabella"/>
              <w:jc w:val="center"/>
              <w:rPr>
                <w:rFonts w:ascii="Trebuchet MS" w:hAnsi="Trebuchet MS" w:eastAsia="SimSun, 'Arial Unicode MS'" w:cs="Trebuchet MS"/>
                <w:b/>
                <w:b/>
                <w:bCs/>
                <w:color w:val="00000A"/>
                <w:sz w:val="18"/>
                <w:szCs w:val="18"/>
                <w:lang w:bidi="hi-IN"/>
              </w:rPr>
            </w:pPr>
            <w:r>
              <w:rPr>
                <w:rFonts w:eastAsia="SimSun, 'Arial Unicode MS'" w:cs="Trebuchet MS" w:ascii="Trebuchet MS" w:hAnsi="Trebuchet MS"/>
                <w:b/>
                <w:bCs/>
                <w:color w:val="00000A"/>
                <w:sz w:val="18"/>
                <w:szCs w:val="18"/>
                <w:lang w:bidi="hi-IN"/>
              </w:rPr>
              <w:t>9.177 mq</w:t>
            </w:r>
          </w:p>
        </w:tc>
        <w:tc>
          <w:tcPr>
            <w:tcW w:w="12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nutotabella"/>
              <w:jc w:val="center"/>
              <w:rPr>
                <w:rFonts w:ascii="Trebuchet MS" w:hAnsi="Trebuchet MS" w:eastAsia="SimSun, 'Arial Unicode MS'" w:cs="Trebuchet MS"/>
                <w:color w:val="00000A"/>
                <w:sz w:val="18"/>
                <w:szCs w:val="18"/>
                <w:lang w:bidi="hi-IN"/>
              </w:rPr>
            </w:pPr>
            <w:r>
              <w:rPr>
                <w:rFonts w:eastAsia="SimSun, 'Arial Unicode MS'" w:cs="Trebuchet MS" w:ascii="Trebuchet MS" w:hAnsi="Trebuchet MS"/>
                <w:color w:val="00000A"/>
                <w:sz w:val="18"/>
                <w:szCs w:val="18"/>
                <w:lang w:bidi="hi-IN"/>
              </w:rPr>
              <w:t>11.335 mq</w:t>
            </w:r>
          </w:p>
        </w:tc>
      </w:tr>
    </w:tbl>
    <w:p>
      <w:pPr>
        <w:pStyle w:val="Standard"/>
        <w:widowControl w:val="false"/>
        <w:suppressLineNumbers/>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ind w:left="850" w:hanging="0"/>
        <w:jc w:val="both"/>
        <w:rPr>
          <w:color w:val="00000A"/>
        </w:rPr>
      </w:pPr>
      <w:r>
        <w:rPr>
          <w:rFonts w:cs="Trebuchet MS" w:ascii="Trebuchet MS" w:hAnsi="Trebuchet MS"/>
          <w:color w:val="00000A"/>
          <w:sz w:val="22"/>
          <w:szCs w:val="22"/>
        </w:rPr>
        <w:t xml:space="preserve">Considerando la superficie convenzionale di ogni posto auto pari a 25 mq (art. 3.1.4 delle NdA del RUE), </w:t>
      </w:r>
      <w:r>
        <w:rPr>
          <w:rFonts w:eastAsia="SimSun, 'Arial Unicode MS'" w:cs="Trebuchet MS" w:ascii="Trebuchet MS" w:hAnsi="Trebuchet MS"/>
          <w:color w:val="00000A"/>
          <w:sz w:val="22"/>
          <w:szCs w:val="22"/>
          <w:lang w:bidi="hi-IN"/>
        </w:rPr>
        <w:t>2.158</w:t>
      </w:r>
      <w:r>
        <w:rPr>
          <w:rFonts w:cs="Trebuchet MS" w:ascii="Trebuchet MS" w:hAnsi="Trebuchet MS"/>
          <w:color w:val="00000A"/>
          <w:sz w:val="22"/>
          <w:szCs w:val="22"/>
        </w:rPr>
        <w:t xml:space="preserve"> mq corrispondono a circa </w:t>
      </w:r>
      <w:r>
        <w:rPr>
          <w:rFonts w:eastAsia="SimSun, 'Arial Unicode MS'" w:cs="Trebuchet MS" w:ascii="Trebuchet MS" w:hAnsi="Trebuchet MS"/>
          <w:color w:val="00000A"/>
          <w:sz w:val="22"/>
          <w:szCs w:val="22"/>
          <w:lang w:bidi="hi-IN"/>
        </w:rPr>
        <w:t>86</w:t>
      </w:r>
      <w:r>
        <w:rPr>
          <w:rFonts w:cs="Trebuchet MS" w:ascii="Trebuchet MS" w:hAnsi="Trebuchet MS"/>
          <w:color w:val="00000A"/>
          <w:sz w:val="22"/>
          <w:szCs w:val="22"/>
        </w:rPr>
        <w:t xml:space="preserve"> posti auto (P2), 9.177 mq corrispondono a circa 367 posti auto (P1) e 11.335 mq corrispondono a 453 posti auto (P2 + P1).</w:t>
      </w:r>
    </w:p>
    <w:p>
      <w:pPr>
        <w:pStyle w:val="Standard"/>
        <w:widowControl w:val="false"/>
        <w:suppressLineNumbers/>
        <w:ind w:left="850" w:hanging="0"/>
        <w:jc w:val="both"/>
        <w:rPr>
          <w:rFonts w:ascii="Trebuchet MS" w:hAnsi="Trebuchet MS" w:cs="Trebuchet MS"/>
          <w:color w:val="00000A"/>
        </w:rPr>
      </w:pPr>
      <w:r>
        <w:rPr>
          <w:rFonts w:cs="Trebuchet MS" w:ascii="Trebuchet MS" w:hAnsi="Trebuchet MS"/>
          <w:color w:val="00000A"/>
        </w:rPr>
      </w:r>
    </w:p>
    <w:p>
      <w:pPr>
        <w:pStyle w:val="Standard"/>
        <w:widowControl w:val="false"/>
        <w:suppressLineNumbers/>
        <w:snapToGrid w:val="false"/>
        <w:ind w:left="850" w:hanging="0"/>
        <w:jc w:val="both"/>
        <w:rPr>
          <w:color w:val="00000A"/>
        </w:rPr>
      </w:pPr>
      <w:r>
        <w:rPr>
          <w:rFonts w:cs="Trebuchet MS" w:ascii="Trebuchet MS" w:hAnsi="Trebuchet MS"/>
          <w:i/>
          <w:iCs/>
          <w:color w:val="00000A"/>
          <w:sz w:val="22"/>
          <w:szCs w:val="22"/>
          <w:u w:val="single"/>
        </w:rPr>
        <w:t>Quota totale di parcheggi da prevedersi all’interno del sub-comparto “PRU_IP-1a.bis”</w:t>
      </w:r>
      <w:r>
        <w:rPr>
          <w:rFonts w:cs="Trebuchet MS" w:ascii="Trebuchet MS" w:hAnsi="Trebuchet MS"/>
          <w:color w:val="00000A"/>
          <w:sz w:val="22"/>
          <w:szCs w:val="22"/>
        </w:rPr>
        <w:t>:</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color w:val="00000A"/>
        </w:rPr>
      </w:pPr>
      <w:r>
        <w:rPr>
          <w:rFonts w:cs="Trebuchet MS" w:ascii="Trebuchet MS" w:hAnsi="Trebuchet MS"/>
          <w:color w:val="00000A"/>
          <w:sz w:val="22"/>
        </w:rPr>
        <w:t xml:space="preserve">Nel </w:t>
      </w:r>
      <w:r>
        <w:rPr>
          <w:rFonts w:eastAsia="SimSun, 'Arial Unicode MS'" w:cs="Trebuchet MS" w:ascii="Trebuchet MS" w:hAnsi="Trebuchet MS"/>
          <w:color w:val="00000A"/>
          <w:sz w:val="22"/>
          <w:szCs w:val="22"/>
          <w:lang w:bidi="hi-IN"/>
        </w:rPr>
        <w:t>“PRU_IP-1a.bis”</w:t>
      </w:r>
      <w:r>
        <w:rPr>
          <w:rFonts w:cs="Trebuchet MS" w:ascii="Trebuchet MS" w:hAnsi="Trebuchet MS"/>
          <w:color w:val="00000A"/>
          <w:sz w:val="22"/>
        </w:rPr>
        <w:t xml:space="preserve"> la quantificazione “presuntiva” della dotazione di parcheggi pubblici (P2) e di parcheggi pertinenziali (P1), effettuata basandosi sulla combinazione di funzioni insediabili sopra sviluppata in riferimento ad ogni singolo capannone, comporta l’ipotetico reperimento delle seguenti quantità totali di parcheggi:</w:t>
      </w:r>
    </w:p>
    <w:p>
      <w:pPr>
        <w:pStyle w:val="Standard"/>
        <w:widowControl w:val="false"/>
        <w:suppressLineNumbers/>
        <w:snapToGrid w:val="false"/>
        <w:ind w:left="1134" w:hanging="283"/>
        <w:jc w:val="both"/>
        <w:rPr>
          <w:color w:val="00000A"/>
        </w:rPr>
      </w:pPr>
      <w:r>
        <w:rPr>
          <w:rFonts w:cs="Trebuchet MS" w:ascii="Trebuchet MS" w:hAnsi="Trebuchet MS"/>
          <w:color w:val="00000A"/>
          <w:sz w:val="22"/>
          <w:szCs w:val="22"/>
        </w:rPr>
        <w:t>-</w:t>
        <w:tab/>
        <w:t xml:space="preserve">Parcheggi pubblici (P2) = 1.630 + 1.913 +1.934 + 2.158 = </w:t>
      </w:r>
      <w:r>
        <w:rPr>
          <w:rFonts w:cs="Trebuchet MS" w:ascii="Trebuchet MS" w:hAnsi="Trebuchet MS"/>
          <w:b/>
          <w:bCs/>
          <w:color w:val="00000A"/>
          <w:sz w:val="22"/>
          <w:szCs w:val="22"/>
        </w:rPr>
        <w:t>7.635 mq</w:t>
      </w:r>
      <w:r>
        <w:rPr>
          <w:rFonts w:cs="Trebuchet MS" w:ascii="Trebuchet MS" w:hAnsi="Trebuchet MS"/>
          <w:color w:val="00000A"/>
          <w:sz w:val="22"/>
          <w:szCs w:val="22"/>
        </w:rPr>
        <w:t xml:space="preserve"> che corrispondono a circa </w:t>
      </w:r>
      <w:r>
        <w:rPr>
          <w:rFonts w:cs="Trebuchet MS" w:ascii="Trebuchet MS" w:hAnsi="Trebuchet MS"/>
          <w:b/>
          <w:bCs/>
          <w:color w:val="00000A"/>
          <w:sz w:val="22"/>
          <w:szCs w:val="22"/>
        </w:rPr>
        <w:t>305 posti auto</w:t>
      </w:r>
      <w:r>
        <w:rPr>
          <w:rFonts w:cs="Trebuchet MS" w:ascii="Trebuchet MS" w:hAnsi="Trebuchet MS"/>
          <w:color w:val="00000A"/>
          <w:sz w:val="22"/>
          <w:szCs w:val="22"/>
        </w:rPr>
        <w:t xml:space="preserve"> complessivi.</w:t>
      </w:r>
    </w:p>
    <w:p>
      <w:pPr>
        <w:pStyle w:val="Standard"/>
        <w:widowControl w:val="false"/>
        <w:suppressLineNumbers/>
        <w:snapToGrid w:val="false"/>
        <w:ind w:left="1134" w:hanging="283"/>
        <w:jc w:val="both"/>
        <w:rPr>
          <w:color w:val="00000A"/>
        </w:rPr>
      </w:pPr>
      <w:r>
        <w:rPr>
          <w:rFonts w:cs="Trebuchet MS" w:ascii="Trebuchet MS" w:hAnsi="Trebuchet MS"/>
          <w:color w:val="00000A"/>
          <w:sz w:val="22"/>
          <w:szCs w:val="22"/>
        </w:rPr>
        <w:t>-</w:t>
        <w:tab/>
        <w:t xml:space="preserve">Parcheggi pertinenziali (P1) = 1.729 +2.358 + 1.934 + 9.177 = </w:t>
      </w:r>
      <w:r>
        <w:rPr>
          <w:rFonts w:cs="Trebuchet MS" w:ascii="Trebuchet MS" w:hAnsi="Trebuchet MS"/>
          <w:b/>
          <w:bCs/>
          <w:color w:val="00000A"/>
          <w:sz w:val="22"/>
          <w:szCs w:val="22"/>
        </w:rPr>
        <w:t>15.198 mq</w:t>
      </w:r>
      <w:r>
        <w:rPr>
          <w:rFonts w:cs="Trebuchet MS" w:ascii="Trebuchet MS" w:hAnsi="Trebuchet MS"/>
          <w:color w:val="00000A"/>
          <w:sz w:val="22"/>
          <w:szCs w:val="22"/>
        </w:rPr>
        <w:t xml:space="preserve"> che corrispondono a circa </w:t>
      </w:r>
      <w:r>
        <w:rPr>
          <w:rFonts w:cs="Trebuchet MS" w:ascii="Trebuchet MS" w:hAnsi="Trebuchet MS"/>
          <w:b/>
          <w:bCs/>
          <w:color w:val="00000A"/>
          <w:sz w:val="22"/>
          <w:szCs w:val="22"/>
        </w:rPr>
        <w:t>608 posti auto</w:t>
      </w:r>
      <w:r>
        <w:rPr>
          <w:rFonts w:cs="Trebuchet MS" w:ascii="Trebuchet MS" w:hAnsi="Trebuchet MS"/>
          <w:color w:val="00000A"/>
          <w:sz w:val="22"/>
          <w:szCs w:val="22"/>
        </w:rPr>
        <w:t xml:space="preserve"> complessivi.</w:t>
      </w:r>
    </w:p>
    <w:p>
      <w:pPr>
        <w:pStyle w:val="Standard"/>
        <w:widowControl w:val="false"/>
        <w:suppressLineNumbers/>
        <w:snapToGrid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color w:val="00000A"/>
        </w:rPr>
      </w:pPr>
      <w:r>
        <w:rPr>
          <w:rFonts w:cs="Trebuchet MS" w:ascii="Trebuchet MS" w:hAnsi="Trebuchet MS"/>
          <w:color w:val="00000A"/>
          <w:sz w:val="22"/>
        </w:rPr>
        <w:t xml:space="preserve">Nel </w:t>
      </w:r>
      <w:r>
        <w:rPr>
          <w:rFonts w:eastAsia="SimSun, 'Arial Unicode MS'" w:cs="Trebuchet MS" w:ascii="Trebuchet MS" w:hAnsi="Trebuchet MS"/>
          <w:color w:val="00000A"/>
          <w:sz w:val="22"/>
          <w:szCs w:val="22"/>
          <w:lang w:bidi="hi-IN"/>
        </w:rPr>
        <w:t>“PRU_IP-1a.bis”</w:t>
      </w:r>
      <w:r>
        <w:rPr>
          <w:rFonts w:cs="Trebuchet MS" w:ascii="Trebuchet MS" w:hAnsi="Trebuchet MS"/>
          <w:color w:val="00000A"/>
          <w:sz w:val="22"/>
        </w:rPr>
        <w:t xml:space="preserve"> la quantificazione “presuntiva” della dotazione di parcheggi (P1 e P2) va verificata rispetto alle superfici previste dal PRU, </w:t>
      </w:r>
      <w:r>
        <w:rPr>
          <w:rFonts w:cs="Trebuchet MS" w:ascii="Trebuchet MS" w:hAnsi="Trebuchet MS"/>
          <w:color w:val="00000A"/>
          <w:sz w:val="22"/>
          <w:szCs w:val="22"/>
        </w:rPr>
        <w:t>individuate graficamente nella tavola n. 18 del RPU “Ripartizione funzionale”:</w:t>
      </w:r>
    </w:p>
    <w:p>
      <w:pPr>
        <w:pStyle w:val="Standard"/>
        <w:widowControl w:val="false"/>
        <w:suppressLineNumbers/>
        <w:snapToGrid w:val="false"/>
        <w:ind w:left="1134" w:hanging="283"/>
        <w:jc w:val="both"/>
        <w:rPr>
          <w:color w:val="00000A"/>
        </w:rPr>
      </w:pPr>
      <w:r>
        <w:rPr>
          <w:rFonts w:cs="Trebuchet MS" w:ascii="Trebuchet MS" w:hAnsi="Trebuchet MS"/>
          <w:color w:val="00000A"/>
          <w:sz w:val="22"/>
          <w:szCs w:val="22"/>
        </w:rPr>
        <w:t>-</w:t>
        <w:tab/>
        <w:t>per quel che riguarda i parcheggi pubblici (P2), a fronte di una esigenza di 7.635 mq (circa 305 posti auto) il progetto di PRU prevede un’ipotetica superficie destinata ad ospitare parcheggi pubblici (P2) pari a 1.749 mq (circa 70 posti auto); tale superficie, di per sé insufficiente, va ampliata considerando nel calcolo un utilizzo “a rotazione” (giustificato dal verosimile impiego sfalsato nel tempo delle funzioni ammesse nel sub-comparto) di quota parte dei parcheggi pubblici del Centro Intermodale “CIM”, che complessivamente si estendono su una superficie pari a 14.063 mq (circa 563 posti auto), a cui si potrebbe ulteriormente aggiungere una quota parte dei limitrofi parcheggi pubblici del “CIM ovest”, che si estendono esternamente al perimetro del “PRU_IP-1a.bis”, ma in contiguità ad esso, su una superficie pari a 11.500 mq (circa 460 posti auto);</w:t>
      </w:r>
    </w:p>
    <w:p>
      <w:pPr>
        <w:pStyle w:val="Standard"/>
        <w:widowControl w:val="false"/>
        <w:suppressLineNumbers/>
        <w:snapToGrid w:val="false"/>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per quel che riguarda i parcheggi pertinenziali (P1), a fronte di una esigenza di 15.198 mq (circa 608 posti auto) il progetto di PRU prevede un’ipotetica, e sovrabbondante, superficie complessiva destinata ad ospitare parcheggi pertinenziali (P1) pari 16.990 mq (circa 680 posti auto).</w:t>
      </w:r>
    </w:p>
    <w:p>
      <w:pPr>
        <w:pStyle w:val="Standard"/>
        <w:widowControl w:val="false"/>
        <w:suppressLineNumbers/>
        <w:snapToGrid w:val="false"/>
        <w:ind w:left="1134" w:hanging="283"/>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snapToGrid w:val="false"/>
        <w:ind w:left="850" w:hanging="0"/>
        <w:jc w:val="both"/>
        <w:rPr>
          <w:rFonts w:ascii="Trebuchet MS" w:hAnsi="Trebuchet MS" w:cs="Trebuchet MS"/>
          <w:color w:val="00000A"/>
          <w:sz w:val="22"/>
          <w:szCs w:val="22"/>
        </w:rPr>
      </w:pPr>
      <w:r>
        <w:rPr>
          <w:rFonts w:cs="Trebuchet MS" w:ascii="Trebuchet MS" w:hAnsi="Trebuchet MS"/>
          <w:color w:val="00000A"/>
          <w:sz w:val="22"/>
          <w:szCs w:val="22"/>
        </w:rPr>
        <w:t>Nel rispetto delle esigenze derivanti dalle funzioni effettivamente insediate e di quanto previsto nel presente comma, le superfici destinate nel PRU ad ospitare parcheggi pubblici (P2) e parcheggi pertinenziali (P1) possono, in fase di progetto esecutivo, essere diversamente calibrate e/o localizzate, senza che ciò apporti variante al PRU.</w:t>
      </w:r>
    </w:p>
    <w:p>
      <w:pPr>
        <w:pStyle w:val="Standard"/>
        <w:widowControl w:val="false"/>
        <w:suppressLineNumbers/>
        <w:snapToGrid w:val="false"/>
        <w:jc w:val="both"/>
        <w:rPr>
          <w:rFonts w:ascii="Trebuchet MS" w:hAnsi="Trebuchet MS" w:cs="Trebuchet MS"/>
          <w:color w:val="00000A"/>
        </w:rPr>
      </w:pPr>
      <w:r>
        <w:rPr>
          <w:rFonts w:cs="Trebuchet MS" w:ascii="Trebuchet MS" w:hAnsi="Trebuchet MS"/>
          <w:color w:val="00000A"/>
        </w:rPr>
      </w:r>
    </w:p>
    <w:p>
      <w:pPr>
        <w:pStyle w:val="Standard"/>
        <w:widowControl w:val="false"/>
        <w:ind w:left="567" w:hanging="567"/>
        <w:jc w:val="both"/>
        <w:rPr>
          <w:color w:val="00000A"/>
        </w:rPr>
      </w:pPr>
      <w:r>
        <w:rPr>
          <w:rFonts w:cs="Trebuchet MS" w:ascii="Trebuchet MS" w:hAnsi="Trebuchet MS"/>
          <w:b/>
          <w:color w:val="00000A"/>
          <w:sz w:val="22"/>
        </w:rPr>
        <w:t>3.</w:t>
        <w:tab/>
      </w:r>
      <w:r>
        <w:rPr>
          <w:rFonts w:cs="Trebuchet MS" w:ascii="Trebuchet MS" w:hAnsi="Trebuchet MS"/>
          <w:color w:val="00000A"/>
          <w:sz w:val="22"/>
        </w:rPr>
        <w:t>Il presente comma esplicita, esclusivamente per il sub-comparto “PRU_IP-1b”, le categorie di intervento e le destinazioni d’uso ammesse, gli indici edificatori e le quote di parcheggi cui attenersi in fase di progetto.</w:t>
      </w:r>
    </w:p>
    <w:p>
      <w:pPr>
        <w:pStyle w:val="Standard"/>
        <w:widowControl w:val="false"/>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850" w:hanging="283"/>
        <w:jc w:val="both"/>
        <w:rPr>
          <w:color w:val="00000A"/>
        </w:rPr>
      </w:pPr>
      <w:r>
        <w:rPr>
          <w:rFonts w:cs="Trebuchet MS" w:ascii="Trebuchet MS" w:hAnsi="Trebuchet MS"/>
          <w:color w:val="00000A"/>
        </w:rPr>
        <w:t>-</w:t>
        <w:tab/>
      </w:r>
      <w:r>
        <w:rPr>
          <w:rFonts w:eastAsia="SimSun, 'Arial Unicode MS'" w:cs="Trebuchet MS" w:ascii="Trebuchet MS" w:hAnsi="Trebuchet MS"/>
          <w:color w:val="00000A"/>
          <w:sz w:val="22"/>
          <w:szCs w:val="22"/>
          <w:u w:val="single"/>
          <w:lang w:bidi="hi-IN"/>
        </w:rPr>
        <w:t>Categorie di intervento ammesse nel “PRU_IP-1b”</w:t>
      </w:r>
    </w:p>
    <w:p>
      <w:pPr>
        <w:pStyle w:val="Standard"/>
        <w:widowControl w:val="false"/>
        <w:ind w:left="850" w:hanging="0"/>
        <w:jc w:val="both"/>
        <w:rPr>
          <w:rFonts w:ascii="Trebuchet MS" w:hAnsi="Trebuchet MS" w:cs="Trebuchet MS"/>
          <w:color w:val="00000A"/>
          <w:sz w:val="22"/>
        </w:rPr>
      </w:pPr>
      <w:r>
        <w:rPr>
          <w:rFonts w:cs="Trebuchet MS" w:ascii="Trebuchet MS" w:hAnsi="Trebuchet MS"/>
          <w:color w:val="00000A"/>
          <w:sz w:val="22"/>
        </w:rPr>
        <w:t>Nell’ambito del “PRU_IP-1b” è possibile attuare le seguenti tipologie di intervento, previste nel Capo 1.5 delle NdA del RUE.</w:t>
      </w:r>
    </w:p>
    <w:p>
      <w:pPr>
        <w:pStyle w:val="Standard"/>
        <w:widowControl w:val="false"/>
        <w:ind w:left="567" w:hanging="0"/>
        <w:jc w:val="both"/>
        <w:rPr>
          <w:rFonts w:ascii="Trebuchet MS" w:hAnsi="Trebuchet MS" w:cs="Trebuchet MS"/>
          <w:i/>
          <w:i/>
          <w:iCs/>
          <w:color w:val="00000A"/>
          <w:sz w:val="10"/>
          <w:szCs w:val="10"/>
        </w:rPr>
      </w:pPr>
      <w:r>
        <w:rPr>
          <w:rFonts w:cs="Trebuchet MS" w:ascii="Trebuchet MS" w:hAnsi="Trebuchet MS"/>
          <w:i/>
          <w:iCs/>
          <w:color w:val="00000A"/>
          <w:sz w:val="10"/>
          <w:szCs w:val="10"/>
        </w:rPr>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B.</w:t>
        <w:tab/>
        <w:t>Tipi di interventi relativi a cambiamenti dello stato fisico (alias interventi edilizi)</w:t>
      </w:r>
    </w:p>
    <w:p>
      <w:pPr>
        <w:pStyle w:val="Standard"/>
        <w:widowControl w:val="false"/>
        <w:ind w:left="1701" w:hanging="567"/>
        <w:jc w:val="both"/>
        <w:rPr>
          <w:rFonts w:ascii="Trebuchet MS" w:hAnsi="Trebuchet MS" w:cs="Trebuchet MS"/>
          <w:color w:val="00000A"/>
          <w:sz w:val="22"/>
        </w:rPr>
      </w:pPr>
      <w:r>
        <w:rPr>
          <w:rFonts w:cs="Trebuchet MS" w:ascii="Trebuchet MS" w:hAnsi="Trebuchet MS"/>
          <w:color w:val="00000A"/>
          <w:sz w:val="22"/>
        </w:rPr>
        <w:t>B.1</w:t>
        <w:tab/>
        <w:t>Interventi edilizi “di recupero” di applicazione generale:</w:t>
      </w:r>
    </w:p>
    <w:p>
      <w:pPr>
        <w:pStyle w:val="Standard"/>
        <w:widowControl w:val="false"/>
        <w:ind w:left="1701" w:hanging="0"/>
        <w:jc w:val="both"/>
        <w:rPr>
          <w:rFonts w:ascii="Trebuchet MS" w:hAnsi="Trebuchet MS" w:cs="Trebuchet MS"/>
          <w:color w:val="00000A"/>
          <w:sz w:val="22"/>
        </w:rPr>
      </w:pPr>
      <w:r>
        <w:rPr>
          <w:rFonts w:cs="Trebuchet MS" w:ascii="Trebuchet MS" w:hAnsi="Trebuchet MS"/>
          <w:color w:val="00000A"/>
          <w:sz w:val="22"/>
        </w:rPr>
        <w:t>Manutenzione ordinaria (MO)</w:t>
      </w:r>
    </w:p>
    <w:p>
      <w:pPr>
        <w:pStyle w:val="Standard"/>
        <w:widowControl w:val="false"/>
        <w:ind w:left="1701" w:hanging="0"/>
        <w:jc w:val="both"/>
        <w:rPr>
          <w:rFonts w:ascii="Trebuchet MS" w:hAnsi="Trebuchet MS" w:cs="Trebuchet MS"/>
          <w:color w:val="00000A"/>
          <w:sz w:val="22"/>
        </w:rPr>
      </w:pPr>
      <w:r>
        <w:rPr>
          <w:rFonts w:cs="Trebuchet MS" w:ascii="Trebuchet MS" w:hAnsi="Trebuchet MS"/>
          <w:color w:val="00000A"/>
          <w:sz w:val="22"/>
        </w:rPr>
        <w:t>Manutenzione straordinaria (MS)</w:t>
      </w:r>
    </w:p>
    <w:p>
      <w:pPr>
        <w:pStyle w:val="Standard"/>
        <w:widowControl w:val="false"/>
        <w:ind w:left="1701" w:hanging="0"/>
        <w:jc w:val="both"/>
        <w:rPr>
          <w:rFonts w:ascii="Trebuchet MS" w:hAnsi="Trebuchet MS" w:cs="Trebuchet MS"/>
          <w:color w:val="00000A"/>
          <w:sz w:val="22"/>
        </w:rPr>
      </w:pPr>
      <w:r>
        <w:rPr>
          <w:rFonts w:cs="Trebuchet MS" w:ascii="Trebuchet MS" w:hAnsi="Trebuchet MS"/>
          <w:color w:val="00000A"/>
          <w:sz w:val="22"/>
        </w:rPr>
        <w:t>Restauro e risanamento conservativo (RRC)</w:t>
      </w:r>
    </w:p>
    <w:p>
      <w:pPr>
        <w:pStyle w:val="Standard"/>
        <w:widowControl w:val="false"/>
        <w:ind w:left="1701" w:hanging="0"/>
        <w:jc w:val="both"/>
        <w:rPr>
          <w:rFonts w:ascii="Trebuchet MS" w:hAnsi="Trebuchet MS" w:cs="Trebuchet MS"/>
          <w:color w:val="00000A"/>
          <w:sz w:val="22"/>
        </w:rPr>
      </w:pPr>
      <w:r>
        <w:rPr>
          <w:rFonts w:cs="Trebuchet MS" w:ascii="Trebuchet MS" w:hAnsi="Trebuchet MS"/>
          <w:color w:val="00000A"/>
          <w:sz w:val="22"/>
        </w:rPr>
        <w:t>Demolizione (D)</w:t>
      </w:r>
    </w:p>
    <w:p>
      <w:pPr>
        <w:pStyle w:val="Standard"/>
        <w:widowControl w:val="false"/>
        <w:ind w:left="1701" w:hanging="567"/>
        <w:jc w:val="both"/>
        <w:rPr>
          <w:rFonts w:ascii="Trebuchet MS" w:hAnsi="Trebuchet MS" w:cs="Trebuchet MS"/>
          <w:color w:val="00000A"/>
          <w:sz w:val="22"/>
        </w:rPr>
      </w:pPr>
      <w:r>
        <w:rPr>
          <w:rFonts w:cs="Trebuchet MS" w:ascii="Trebuchet MS" w:hAnsi="Trebuchet MS"/>
          <w:color w:val="00000A"/>
          <w:sz w:val="22"/>
        </w:rPr>
        <w:t>B.3</w:t>
        <w:tab/>
        <w:t>Interventi edilizi di nuova costruzione:</w:t>
      </w:r>
    </w:p>
    <w:p>
      <w:pPr>
        <w:pStyle w:val="Standard"/>
        <w:widowControl w:val="false"/>
        <w:ind w:left="1701" w:hanging="0"/>
        <w:jc w:val="both"/>
        <w:rPr>
          <w:color w:val="00000A"/>
        </w:rPr>
      </w:pPr>
      <w:r>
        <w:rPr>
          <w:rFonts w:cs="Trebuchet MS" w:ascii="Trebuchet MS" w:hAnsi="Trebuchet MS"/>
          <w:color w:val="00000A"/>
          <w:sz w:val="22"/>
        </w:rPr>
        <w:t>Nuova costruzione (NC), limitatamente per adeguamenti igienico-funzionali e/o strutturali, da attuarsi esclusivamente con interventi di ampliamento degli edifici esistenti, così come meglio di seguito specificato al capoverso “I</w:t>
      </w:r>
      <w:r>
        <w:rPr>
          <w:rFonts w:eastAsia="SimSun, 'Arial Unicode MS'" w:cs="Trebuchet MS" w:ascii="Trebuchet MS" w:hAnsi="Trebuchet MS"/>
          <w:color w:val="00000A"/>
          <w:sz w:val="22"/>
          <w:szCs w:val="22"/>
          <w:lang w:bidi="hi-IN"/>
        </w:rPr>
        <w:t>ndici edificatori del “PRU_IP-1b”</w:t>
      </w:r>
    </w:p>
    <w:p>
      <w:pPr>
        <w:pStyle w:val="Standard"/>
        <w:widowControl w:val="false"/>
        <w:ind w:left="1134" w:hanging="283"/>
        <w:jc w:val="both"/>
        <w:rPr>
          <w:rFonts w:ascii="Trebuchet MS" w:hAnsi="Trebuchet MS" w:cs="Trebuchet MS"/>
          <w:color w:val="00000A"/>
          <w:sz w:val="22"/>
        </w:rPr>
      </w:pPr>
      <w:r>
        <w:rPr>
          <w:rFonts w:cs="Trebuchet MS" w:ascii="Trebuchet MS" w:hAnsi="Trebuchet MS"/>
          <w:color w:val="00000A"/>
          <w:sz w:val="22"/>
        </w:rPr>
        <w:t>C.</w:t>
        <w:tab/>
        <w:t>Tipi di interventi relativi a cambiamenti dello stato d’uso</w:t>
      </w:r>
    </w:p>
    <w:p>
      <w:pPr>
        <w:pStyle w:val="Standard"/>
        <w:widowControl w:val="false"/>
        <w:ind w:left="1701" w:hanging="567"/>
        <w:jc w:val="both"/>
        <w:rPr>
          <w:rFonts w:ascii="Trebuchet MS" w:hAnsi="Trebuchet MS" w:cs="Trebuchet MS"/>
          <w:color w:val="00000A"/>
          <w:sz w:val="22"/>
        </w:rPr>
      </w:pPr>
      <w:r>
        <w:rPr>
          <w:rFonts w:cs="Trebuchet MS" w:ascii="Trebuchet MS" w:hAnsi="Trebuchet MS"/>
          <w:color w:val="00000A"/>
          <w:sz w:val="22"/>
        </w:rPr>
        <w:tab/>
        <w:t>Cambi d’uso (CD) temporanei</w:t>
      </w:r>
    </w:p>
    <w:p>
      <w:pPr>
        <w:pStyle w:val="Standard"/>
        <w:widowControl w:val="false"/>
        <w:ind w:left="1701" w:hanging="567"/>
        <w:jc w:val="both"/>
        <w:rPr>
          <w:rFonts w:ascii="Trebuchet MS" w:hAnsi="Trebuchet MS" w:cs="Trebuchet MS"/>
          <w:color w:val="00000A"/>
          <w:sz w:val="22"/>
        </w:rPr>
      </w:pPr>
      <w:r>
        <w:rPr>
          <w:rFonts w:cs="Trebuchet MS" w:ascii="Trebuchet MS" w:hAnsi="Trebuchet MS"/>
          <w:color w:val="00000A"/>
          <w:sz w:val="22"/>
        </w:rPr>
        <w:tab/>
        <w:t>Cambi d’uso (CD) definitivi, esclusivamente per l’insediamento di attrezzature e spazi collettivi: ambito ex deposito ferroviario di via Talami, da destinarsi ad attività di interesse generale</w:t>
      </w:r>
    </w:p>
    <w:p>
      <w:pPr>
        <w:pStyle w:val="Standard"/>
        <w:widowControl w:val="false"/>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850" w:hanging="283"/>
        <w:jc w:val="both"/>
        <w:rPr>
          <w:color w:val="00000A"/>
        </w:rPr>
      </w:pPr>
      <w:r>
        <w:rPr>
          <w:rFonts w:cs="Trebuchet MS" w:ascii="Trebuchet MS" w:hAnsi="Trebuchet MS"/>
          <w:color w:val="00000A"/>
          <w:sz w:val="22"/>
          <w:szCs w:val="22"/>
        </w:rPr>
        <w:t>-</w:t>
        <w:tab/>
      </w:r>
      <w:r>
        <w:rPr>
          <w:rFonts w:cs="Trebuchet MS" w:ascii="Trebuchet MS" w:hAnsi="Trebuchet MS"/>
          <w:color w:val="00000A"/>
          <w:sz w:val="22"/>
          <w:u w:val="single"/>
        </w:rPr>
        <w:t>Destinazioni d’uso ammesse</w:t>
      </w:r>
      <w:r>
        <w:rPr>
          <w:rFonts w:eastAsia="SimSun, 'Arial Unicode MS'" w:cs="Trebuchet MS" w:ascii="Trebuchet MS" w:hAnsi="Trebuchet MS"/>
          <w:color w:val="00000A"/>
          <w:sz w:val="22"/>
          <w:szCs w:val="22"/>
          <w:u w:val="single"/>
          <w:lang w:bidi="hi-IN"/>
        </w:rPr>
        <w:t xml:space="preserve"> nel “PRU_IP-1b”</w:t>
      </w:r>
    </w:p>
    <w:p>
      <w:pPr>
        <w:pStyle w:val="Standard"/>
        <w:widowControl w:val="false"/>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pacing w:lineRule="atLeast" w:line="200"/>
        <w:ind w:left="850" w:hanging="0"/>
        <w:jc w:val="both"/>
        <w:rPr>
          <w:color w:val="00000A"/>
        </w:rPr>
      </w:pPr>
      <w:r>
        <w:rPr>
          <w:rFonts w:cs="Trebuchet MS" w:ascii="Trebuchet MS" w:hAnsi="Trebuchet MS"/>
          <w:color w:val="00000A"/>
          <w:sz w:val="22"/>
          <w:szCs w:val="22"/>
        </w:rPr>
        <w:t>Le destinazioni d’uso ammesse nel “PRU_IP-1b” sono conformi a quelle richiamate nel PSC e nel RUE in riferimento all’Ambito di riqualificazione AR-10 in quanto, ad eccezione di cambi d’uso funzionali all’insediamento di dotazioni territoriali relative alle attività di interesse generale, da insediarsi nelle aree e negli edifici dell’ex deposito ferroviario di via Talami, che si sostanziano come cambi d’uso “definitivi” verso attrezzature e spazi collettivi, le destinazioni d’uso previste (funzioni terziarie e di servizio) si insediano nella forma dell’uso temporaneo, senza sostanziarsi “definitivamente” come cambi d’uso; così come specificato nelle convenzioni stipulate fra i proprietari degli edifici industriali dismessi e l’Amministrazione Comunale, allegate al Bando Periferie di cui alla Legge n. 208/2015, nel disciplinare le destinazioni d’uso insediabili nell’ambito di riqualificazione AR-10 si fa riferimento in particolar modo a quanto disposto dall’art. 4.3.2 comma 3 del RUE che prevede che in tale ambito “</w:t>
      </w:r>
      <w:r>
        <w:rPr>
          <w:rFonts w:cs="Trebuchet MS" w:ascii="Trebuchet MS" w:hAnsi="Trebuchet MS"/>
          <w:i/>
          <w:iCs/>
          <w:color w:val="00000A"/>
          <w:sz w:val="22"/>
          <w:szCs w:val="22"/>
        </w:rPr>
        <w:t>si possono attuare interventi con eventuali cambi d’uso, per attività o funzioni temporanee, da disciplinare attraverso la stipula di specifiche convenzioni con l’Amministrazione Comunale”.</w:t>
      </w:r>
    </w:p>
    <w:p>
      <w:pPr>
        <w:pStyle w:val="Standard"/>
        <w:widowControl w:val="false"/>
        <w:spacing w:lineRule="atLeast" w:line="200"/>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850" w:hanging="0"/>
        <w:jc w:val="both"/>
        <w:rPr>
          <w:color w:val="00000A"/>
        </w:rPr>
      </w:pPr>
      <w:r>
        <w:rPr>
          <w:rFonts w:cs="Trebuchet MS" w:ascii="Trebuchet MS" w:hAnsi="Trebuchet MS"/>
          <w:color w:val="00000A"/>
          <w:sz w:val="22"/>
          <w:szCs w:val="22"/>
        </w:rPr>
        <w:t xml:space="preserve">Le destinazioni ammesse nel sub-comparto </w:t>
      </w:r>
      <w:r>
        <w:rPr>
          <w:rFonts w:eastAsia="SimSun, 'Arial Unicode MS'" w:cs="Trebuchet MS" w:ascii="Trebuchet MS" w:hAnsi="Trebuchet MS"/>
          <w:color w:val="00000A"/>
          <w:sz w:val="22"/>
          <w:szCs w:val="22"/>
          <w:lang w:bidi="hi-IN"/>
        </w:rPr>
        <w:t>“PRU_IP-1b”</w:t>
      </w:r>
      <w:r>
        <w:rPr>
          <w:rFonts w:cs="Trebuchet MS" w:ascii="Trebuchet MS" w:hAnsi="Trebuchet MS"/>
          <w:color w:val="00000A"/>
          <w:sz w:val="22"/>
          <w:szCs w:val="22"/>
        </w:rPr>
        <w:t xml:space="preserve"> dovranno essere conformi con la disciplina del Piano di rischio Aeroportuale (PdRA) che esclude la possibilità di insediare alcune funzioni (quali ad esempio funzioni a forte concorso di pubblico, attività espositive, fieristiche, congressuali (b.13), attività ricreative, sportive e di spettacolo (b14), ecc...) in quelle aree che interferiscono con le zone di tutela del Piano. Le funzioni insediabili nel sub-comparto dovranno pertanto essere verificate, di volta in volta, anche in relazione alla disciplina del PdRA.</w:t>
      </w:r>
    </w:p>
    <w:p>
      <w:pPr>
        <w:pStyle w:val="Standard"/>
        <w:widowControl w:val="false"/>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850" w:hanging="283"/>
        <w:jc w:val="both"/>
        <w:rPr>
          <w:color w:val="00000A"/>
        </w:rPr>
      </w:pPr>
      <w:r>
        <w:rPr>
          <w:rFonts w:cs="Trebuchet MS" w:ascii="Trebuchet MS" w:hAnsi="Trebuchet MS"/>
          <w:color w:val="00000A"/>
          <w:sz w:val="22"/>
          <w:szCs w:val="22"/>
        </w:rPr>
        <w:t>-</w:t>
        <w:tab/>
      </w:r>
      <w:r>
        <w:rPr>
          <w:rFonts w:eastAsia="SimSun, 'Arial Unicode MS'" w:cs="Trebuchet MS" w:ascii="Trebuchet MS" w:hAnsi="Trebuchet MS"/>
          <w:color w:val="00000A"/>
          <w:sz w:val="22"/>
          <w:szCs w:val="22"/>
          <w:u w:val="single"/>
          <w:lang w:bidi="hi-IN"/>
        </w:rPr>
        <w:t>Indici edificatori del “PRU_IP-1b”</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tabs>
          <w:tab w:val="left" w:pos="6430" w:leader="none"/>
        </w:tabs>
        <w:ind w:left="850" w:hanging="0"/>
        <w:jc w:val="both"/>
        <w:rPr>
          <w:color w:val="00000A"/>
        </w:rPr>
      </w:pPr>
      <w:r>
        <w:rPr>
          <w:rFonts w:cs="Trebuchet MS" w:ascii="Trebuchet MS" w:hAnsi="Trebuchet MS"/>
          <w:color w:val="00000A"/>
          <w:sz w:val="22"/>
          <w:szCs w:val="22"/>
        </w:rPr>
        <w:t xml:space="preserve">Nel </w:t>
      </w:r>
      <w:r>
        <w:rPr>
          <w:rFonts w:eastAsia="SimSun, 'Arial Unicode MS'" w:cs="Trebuchet MS" w:ascii="Trebuchet MS" w:hAnsi="Trebuchet MS"/>
          <w:color w:val="00000A"/>
          <w:sz w:val="22"/>
          <w:szCs w:val="22"/>
          <w:lang w:bidi="hi-IN"/>
        </w:rPr>
        <w:t>“PRU_IP-1b”</w:t>
      </w:r>
      <w:r>
        <w:rPr>
          <w:rFonts w:cs="Trebuchet MS" w:ascii="Trebuchet MS" w:hAnsi="Trebuchet MS"/>
          <w:color w:val="00000A"/>
          <w:sz w:val="22"/>
          <w:szCs w:val="22"/>
        </w:rPr>
        <w:t xml:space="preserve"> sono ammessi interventi “a bassa definizione” che si attuano con la sostanziale riqualificazione e rigenerazione edilizia di strutture esistenti.</w:t>
      </w:r>
    </w:p>
    <w:p>
      <w:pPr>
        <w:pStyle w:val="Standard"/>
        <w:widowControl w:val="false"/>
        <w:tabs>
          <w:tab w:val="left" w:pos="7426" w:leader="none"/>
          <w:tab w:val="left" w:pos="7652" w:leader="none"/>
        </w:tabs>
        <w:ind w:left="850" w:hanging="0"/>
        <w:jc w:val="both"/>
        <w:rPr>
          <w:rFonts w:ascii="Trebuchet MS" w:hAnsi="Trebuchet MS" w:cs="Trebuchet MS"/>
          <w:color w:val="00000A"/>
          <w:sz w:val="22"/>
          <w:szCs w:val="22"/>
        </w:rPr>
      </w:pPr>
      <w:r>
        <w:rPr>
          <w:rFonts w:cs="Trebuchet MS" w:ascii="Trebuchet MS" w:hAnsi="Trebuchet MS"/>
          <w:color w:val="00000A"/>
          <w:sz w:val="22"/>
          <w:szCs w:val="22"/>
        </w:rPr>
        <w:t>E’ possibile ampliare la superficie complessiva (Sc) esistente nelle seguenti modalità:</w:t>
      </w:r>
    </w:p>
    <w:p>
      <w:pPr>
        <w:pStyle w:val="Standard"/>
        <w:widowControl w:val="false"/>
        <w:tabs>
          <w:tab w:val="left" w:pos="7710" w:leader="none"/>
          <w:tab w:val="left" w:pos="7936" w:leader="none"/>
        </w:tabs>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gli ampliamenti di Sc interni sono sempre ammessi;</w:t>
      </w:r>
    </w:p>
    <w:p>
      <w:pPr>
        <w:pStyle w:val="Standard"/>
        <w:widowControl w:val="false"/>
        <w:tabs>
          <w:tab w:val="left" w:pos="7710" w:leader="none"/>
          <w:tab w:val="left" w:pos="7936" w:leader="none"/>
        </w:tabs>
        <w:ind w:left="1134" w:hanging="283"/>
        <w:jc w:val="both"/>
        <w:rPr>
          <w:color w:val="00000A"/>
        </w:rPr>
      </w:pPr>
      <w:r>
        <w:rPr>
          <w:rFonts w:cs="Trebuchet MS" w:ascii="Trebuchet MS" w:hAnsi="Trebuchet MS"/>
          <w:color w:val="00000A"/>
          <w:sz w:val="22"/>
          <w:szCs w:val="22"/>
        </w:rPr>
        <w:t>-</w:t>
        <w:tab/>
        <w:t>gli ampliamenti di Sc esterni sono ammessi per un massimo del 5% della Sc esistente e unicamente per interventi di adeguamento igienico-funzionale e/o strutturale;</w:t>
      </w:r>
    </w:p>
    <w:p>
      <w:pPr>
        <w:pStyle w:val="Standard"/>
        <w:widowControl w:val="false"/>
        <w:tabs>
          <w:tab w:val="left" w:pos="7710" w:leader="none"/>
          <w:tab w:val="left" w:pos="7936" w:leader="none"/>
        </w:tabs>
        <w:ind w:left="1134" w:hanging="283"/>
        <w:jc w:val="both"/>
        <w:rPr>
          <w:rFonts w:ascii="Trebuchet MS" w:hAnsi="Trebuchet MS" w:cs="Trebuchet MS"/>
          <w:color w:val="00000A"/>
          <w:sz w:val="22"/>
          <w:szCs w:val="22"/>
        </w:rPr>
      </w:pPr>
      <w:r>
        <w:rPr>
          <w:rFonts w:cs="Trebuchet MS" w:ascii="Trebuchet MS" w:hAnsi="Trebuchet MS"/>
          <w:color w:val="00000A"/>
          <w:sz w:val="22"/>
          <w:szCs w:val="22"/>
        </w:rPr>
        <w:t>-</w:t>
        <w:tab/>
        <w:t>su aree ed edifici destinati ad ospitare “attrezzature e spazi collettivi” in cui è previsto l’insediamento di attività di interesse generale (ambito ex deposito ferroviario di via Talami) le potenzialità edificatorie ammesse derivano dalla disciplina delle opere pubbliche.</w:t>
      </w:r>
    </w:p>
    <w:p>
      <w:pPr>
        <w:pStyle w:val="Standard"/>
        <w:widowControl w:val="false"/>
        <w:jc w:val="both"/>
        <w:rPr>
          <w:rFonts w:ascii="Trebuchet MS" w:hAnsi="Trebuchet MS" w:cs="Trebuchet MS"/>
          <w:color w:val="00000A"/>
        </w:rPr>
      </w:pPr>
      <w:r>
        <w:rPr>
          <w:rFonts w:cs="Trebuchet MS" w:ascii="Trebuchet MS" w:hAnsi="Trebuchet MS"/>
          <w:color w:val="00000A"/>
        </w:rPr>
      </w:r>
    </w:p>
    <w:p>
      <w:pPr>
        <w:pStyle w:val="Standard"/>
        <w:widowControl w:val="false"/>
        <w:ind w:left="850" w:hanging="283"/>
        <w:jc w:val="both"/>
        <w:rPr>
          <w:color w:val="00000A"/>
        </w:rPr>
      </w:pPr>
      <w:r>
        <w:rPr>
          <w:rFonts w:cs="Trebuchet MS" w:ascii="Trebuchet MS" w:hAnsi="Trebuchet MS"/>
          <w:color w:val="00000A"/>
          <w:sz w:val="22"/>
          <w:szCs w:val="22"/>
        </w:rPr>
        <w:t>-</w:t>
        <w:tab/>
      </w:r>
      <w:r>
        <w:rPr>
          <w:rFonts w:eastAsia="SimSun, 'Arial Unicode MS'" w:cs="Trebuchet MS" w:ascii="Trebuchet MS" w:hAnsi="Trebuchet MS"/>
          <w:color w:val="00000A"/>
          <w:sz w:val="22"/>
          <w:szCs w:val="22"/>
          <w:u w:val="single"/>
          <w:lang w:bidi="hi-IN"/>
        </w:rPr>
        <w:t>Quote di parcheggi pubblici (P2) e parcheggi pertinenziali (P1) del “PRU_IP-1b”</w:t>
      </w:r>
    </w:p>
    <w:p>
      <w:pPr>
        <w:pStyle w:val="Standard"/>
        <w:widowControl w:val="false"/>
        <w:ind w:left="850"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suppressLineNumbers/>
        <w:tabs>
          <w:tab w:val="left" w:pos="7426" w:leader="none"/>
          <w:tab w:val="left" w:pos="7652" w:leader="none"/>
        </w:tabs>
        <w:snapToGrid w:val="false"/>
        <w:ind w:left="850" w:hanging="0"/>
        <w:jc w:val="both"/>
        <w:rPr>
          <w:color w:val="00000A"/>
        </w:rPr>
      </w:pPr>
      <w:r>
        <w:rPr>
          <w:rFonts w:cs="Trebuchet MS" w:ascii="Trebuchet MS" w:hAnsi="Trebuchet MS"/>
          <w:color w:val="00000A"/>
          <w:sz w:val="22"/>
          <w:szCs w:val="22"/>
        </w:rPr>
        <w:t xml:space="preserve">Gli interventi di riqualificazione previsti nel </w:t>
      </w:r>
      <w:r>
        <w:rPr>
          <w:rFonts w:eastAsia="SimSun, 'Arial Unicode MS'" w:cs="Trebuchet MS" w:ascii="Trebuchet MS" w:hAnsi="Trebuchet MS"/>
          <w:color w:val="00000A"/>
          <w:sz w:val="22"/>
          <w:szCs w:val="22"/>
          <w:lang w:bidi="hi-IN"/>
        </w:rPr>
        <w:t>“PRU_IP-1b”</w:t>
      </w:r>
      <w:r>
        <w:rPr>
          <w:rFonts w:cs="Trebuchet MS" w:ascii="Trebuchet MS" w:hAnsi="Trebuchet MS"/>
          <w:color w:val="00000A"/>
          <w:sz w:val="22"/>
          <w:szCs w:val="22"/>
        </w:rPr>
        <w:t xml:space="preserve"> si limitano alla sistemazione di strutture esistenti; sia nel caso in cui si insedino funzioni temporanee che non configurano l’intervento previsto come un “definitivo” cambio d’uso, sia nel caso in cui si insedino, in via “definitiva”, attrezzature e spazi collettivi (ambito dell’ex deposito ferroviario di via Talami da destinarsi ad attività di interesse generale), non è richiesto il reperimento di quote di parcheggi pubblici (P2) e parcheggi pertinenziali (P1).</w:t>
      </w:r>
    </w:p>
    <w:p>
      <w:pPr>
        <w:pStyle w:val="Standard"/>
        <w:widowControl w:val="false"/>
        <w:suppressLineNumbers/>
        <w:tabs>
          <w:tab w:val="left" w:pos="6576" w:leader="none"/>
          <w:tab w:val="left" w:pos="6802" w:leader="none"/>
        </w:tabs>
        <w:snapToGrid w:val="false"/>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6576" w:leader="none"/>
          <w:tab w:val="left" w:pos="6802" w:leader="none"/>
        </w:tabs>
        <w:snapToGrid w:val="false"/>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6</w:t>
        <w:tab/>
        <w:t>-</w:t>
        <w:tab/>
        <w:t>Concorso alla realizzazione delle dotazioni territoriali</w:t>
      </w:r>
    </w:p>
    <w:p>
      <w:pPr>
        <w:pStyle w:val="Standard"/>
        <w:widowControl w:val="false"/>
        <w:spacing w:lineRule="atLeast" w:line="200"/>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b/>
          <w:bCs/>
          <w:color w:val="00000A"/>
          <w:sz w:val="22"/>
        </w:rPr>
        <w:t>1.</w:t>
      </w:r>
      <w:r>
        <w:rPr>
          <w:rFonts w:cs="Trebuchet MS" w:ascii="Trebuchet MS" w:hAnsi="Trebuchet MS"/>
          <w:color w:val="00000A"/>
          <w:sz w:val="22"/>
        </w:rPr>
        <w:tab/>
      </w:r>
      <w:r>
        <w:rPr>
          <w:rFonts w:cs="Trebuchet MS" w:ascii="Trebuchet MS" w:hAnsi="Trebuchet MS"/>
          <w:color w:val="00000A"/>
          <w:sz w:val="22"/>
          <w:szCs w:val="22"/>
        </w:rPr>
        <w:t xml:space="preserve">Il concorso alla realizzazione delle dotazioni territoriali da parte dei soggetti attuatori, in virtù delle sostanziali differenze fra le due parti che compongono il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si esplicita nelle seguenti modalità:</w:t>
      </w:r>
    </w:p>
    <w:p>
      <w:pPr>
        <w:pStyle w:val="Standard"/>
        <w:widowControl w:val="false"/>
        <w:suppressLineNumbers/>
        <w:snapToGrid w:val="false"/>
        <w:ind w:left="850" w:hanging="283"/>
        <w:jc w:val="both"/>
        <w:rPr>
          <w:color w:val="00000A"/>
        </w:rPr>
      </w:pPr>
      <w:r>
        <w:rPr>
          <w:rFonts w:cs="Trebuchet MS" w:ascii="Trebuchet MS" w:hAnsi="Trebuchet MS"/>
          <w:color w:val="00000A"/>
          <w:sz w:val="22"/>
          <w:szCs w:val="22"/>
        </w:rPr>
        <w:t>-</w:t>
        <w:tab/>
        <w:t xml:space="preserve">Per il sub-comparto “PRU_IP-1a.bis”, fermo restando quanto disciplinato dall’Atto di Accordo e dagli Atti di accordo </w:t>
      </w:r>
      <w:r>
        <w:rPr>
          <w:rFonts w:eastAsia="SimSun, 'Arial Unicode MS'" w:cs="Trebuchet MS" w:ascii="Trebuchet MS" w:hAnsi="Trebuchet MS"/>
          <w:color w:val="00000A"/>
          <w:sz w:val="22"/>
          <w:szCs w:val="22"/>
          <w:lang w:bidi="hi-IN"/>
        </w:rPr>
        <w:t>integrativi per la realizzazione del primo stralcio attuativo “PRU_IP-1</w:t>
      </w:r>
      <w:r>
        <w:rPr>
          <w:rFonts w:eastAsia="SimSun, 'Arial Unicode MS'" w:cs="Trebuchet MS" w:ascii="Trebuchet MS" w:hAnsi="Trebuchet MS"/>
          <w:bCs/>
          <w:color w:val="00000A"/>
          <w:sz w:val="22"/>
          <w:szCs w:val="22"/>
          <w:lang w:bidi="hi-IN"/>
        </w:rPr>
        <w:t>a”, nonché dall’Atto costitutivo di STU Reggiane S.p.A. e dall’Atto di accordo Bando Periferie (di cui ai commi 1, 2, 3 e 4 dell’art. 2)</w:t>
      </w:r>
      <w:r>
        <w:rPr>
          <w:rFonts w:cs="Trebuchet MS" w:ascii="Trebuchet MS" w:hAnsi="Trebuchet MS"/>
          <w:bCs/>
          <w:color w:val="00000A"/>
          <w:sz w:val="22"/>
          <w:szCs w:val="22"/>
        </w:rPr>
        <w:t xml:space="preserve">, dalla presente convenzione </w:t>
      </w:r>
      <w:r>
        <w:rPr>
          <w:rFonts w:cs="Trebuchet MS" w:ascii="Trebuchet MS" w:hAnsi="Trebuchet MS"/>
          <w:color w:val="00000A"/>
          <w:sz w:val="22"/>
          <w:szCs w:val="22"/>
        </w:rPr>
        <w:t>urbanistica per l’attuazione del “PRU_IP - Bando Periferie Reggiane/SantaCroce” e dall’art. 11 del PRU in merito alla cessione gratuita e anticipata del capannone 19 (Tecnopolo) al Comune di Reggio Emilia, quale dotazione territoriale, trovano applicazione gli artt. 6.2 e 6.6 delle NdA del PSC. Le dotazioni territoriali e le aree per la loro realizzazione, individuate dagli elaborati del “PRU_IP-1a.bis”, sono oggetto di cessione al Comune, nelle forme, nei tempi e con le modalità previsti dalle disposizioni di legge e regolamentari, nonché dagli atti di pianificazione e dagli atti convenzionali.</w:t>
      </w:r>
    </w:p>
    <w:p>
      <w:pPr>
        <w:pStyle w:val="Standard"/>
        <w:widowControl w:val="false"/>
        <w:suppressLineNumbers/>
        <w:snapToGrid w:val="false"/>
        <w:ind w:left="850" w:hanging="283"/>
        <w:jc w:val="both"/>
        <w:rPr>
          <w:rFonts w:ascii="Trebuchet MS" w:hAnsi="Trebuchet MS" w:cs="Trebuchet MS"/>
          <w:color w:val="00000A"/>
          <w:sz w:val="22"/>
          <w:szCs w:val="22"/>
        </w:rPr>
      </w:pPr>
      <w:r>
        <w:rPr>
          <w:rFonts w:cs="Trebuchet MS" w:ascii="Trebuchet MS" w:hAnsi="Trebuchet MS"/>
          <w:color w:val="00000A"/>
          <w:sz w:val="22"/>
          <w:szCs w:val="22"/>
        </w:rPr>
        <w:t>-</w:t>
        <w:tab/>
        <w:t>Per il sub-comparto “PRU_IP-1b”, trattandosi sostanzialmente di interventi di riuso temporaneo, non sono richiesti contributi alla realizzazione delle dotazioni territoriali.</w:t>
      </w:r>
    </w:p>
    <w:p>
      <w:pPr>
        <w:pStyle w:val="Standard"/>
        <w:widowControl w:val="false"/>
        <w:suppressLineNumbers/>
        <w:snapToGrid w:val="false"/>
        <w:ind w:left="567" w:hanging="567"/>
        <w:jc w:val="both"/>
        <w:rPr>
          <w:color w:val="00000A"/>
        </w:rPr>
      </w:pPr>
      <w:r>
        <w:rPr>
          <w:rFonts w:cs="Trebuchet MS" w:ascii="Trebuchet MS" w:hAnsi="Trebuchet MS"/>
          <w:b/>
          <w:color w:val="00000A"/>
          <w:sz w:val="22"/>
          <w:szCs w:val="22"/>
        </w:rPr>
        <w:t>2.</w:t>
        <w:tab/>
      </w:r>
      <w:r>
        <w:rPr>
          <w:rFonts w:cs="Trebuchet MS" w:ascii="Trebuchet MS" w:hAnsi="Trebuchet MS"/>
          <w:color w:val="00000A"/>
          <w:sz w:val="22"/>
          <w:szCs w:val="22"/>
        </w:rPr>
        <w:t>Trovano altresì applicazione le disposizioni del “</w:t>
      </w:r>
      <w:r>
        <w:rPr>
          <w:rFonts w:cs="Trebuchet MS" w:ascii="Trebuchet MS" w:hAnsi="Trebuchet MS"/>
          <w:i/>
          <w:color w:val="00000A"/>
          <w:sz w:val="22"/>
          <w:szCs w:val="22"/>
        </w:rPr>
        <w:t>Quinto Atto di Accordo Integrativo stipulato dal Comune di Reggio Emilia e da Iren Rinnovabili s.p.a. nonché le disposizioni del “Terzo Addendum alla convenzione ai sensi dell’articolo 120 del d.lgs. 18 agosto 2000 n. 267 e dell’articolo 6 della legge regionale 31 luglio 1998 n. 19 stipulata in data 1 giugno 2016 tra il Comune di Reggio Emilia e la società per azioni “Conoscenza, Innovazione, Creatività, Memoria. Società per la Trasformazione Urbana in Reggio Emilia</w:t>
      </w:r>
      <w:r>
        <w:rPr>
          <w:rFonts w:cs="Trebuchet MS" w:ascii="Trebuchet MS" w:hAnsi="Trebuchet MS"/>
          <w:color w:val="00000A"/>
          <w:sz w:val="22"/>
          <w:szCs w:val="22"/>
        </w:rPr>
        <w:t>” per le opere da essi contemplate.</w:t>
      </w:r>
      <w:r>
        <w:rPr>
          <w:rFonts w:cs="Trebuchet MS" w:ascii="Trebuchet MS" w:hAnsi="Trebuchet MS"/>
          <w:i/>
          <w:color w:val="00000A"/>
          <w:sz w:val="22"/>
          <w:szCs w:val="22"/>
        </w:rPr>
        <w:t xml:space="preserve"> </w:t>
      </w:r>
    </w:p>
    <w:p>
      <w:pPr>
        <w:pStyle w:val="Standard"/>
        <w:widowControl w:val="false"/>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567" w:hanging="567"/>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tabs>
          <w:tab w:val="left" w:pos="1813" w:leader="none"/>
        </w:tabs>
        <w:ind w:left="1020" w:hanging="1020"/>
        <w:jc w:val="both"/>
        <w:rPr>
          <w:color w:val="00000A"/>
        </w:rPr>
      </w:pPr>
      <w:r>
        <w:rPr>
          <w:rFonts w:cs="Trebuchet MS" w:ascii="Trebuchet MS" w:hAnsi="Trebuchet MS"/>
          <w:b/>
          <w:bCs/>
          <w:color w:val="00000A"/>
          <w:sz w:val="22"/>
          <w:szCs w:val="22"/>
        </w:rPr>
        <w:t>Art. 7</w:t>
        <w:tab/>
        <w:t>-</w:t>
        <w:tab/>
        <w:t>Potenzialità edificatorie residue del sub-comparto “PRU_IP-1a.bis”</w:t>
      </w:r>
    </w:p>
    <w:p>
      <w:pPr>
        <w:pStyle w:val="Standard"/>
        <w:widowControl w:val="false"/>
        <w:tabs>
          <w:tab w:val="left" w:pos="1813" w:leader="none"/>
        </w:tabs>
        <w:ind w:left="1020" w:hanging="1020"/>
        <w:jc w:val="both"/>
        <w:rPr>
          <w:rFonts w:ascii="Trebuchet MS" w:hAnsi="Trebuchet MS" w:cs="Trebuchet MS"/>
          <w:bCs/>
          <w:color w:val="00000A"/>
          <w:sz w:val="22"/>
          <w:szCs w:val="22"/>
        </w:rPr>
      </w:pPr>
      <w:r>
        <w:rPr>
          <w:rFonts w:cs="Trebuchet MS" w:ascii="Trebuchet MS" w:hAnsi="Trebuchet MS"/>
          <w:bCs/>
          <w:color w:val="00000A"/>
          <w:sz w:val="22"/>
          <w:szCs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color w:val="00000A"/>
          <w:sz w:val="22"/>
          <w:szCs w:val="22"/>
        </w:rPr>
        <w:t>1.</w:t>
        <w:tab/>
        <w:t xml:space="preserve">In riferimento al solo sub-comparto “PRU_IP-1a.bis” si conferma che, in attuazione e in coerenza di quanto previsto all’art. C comma C.5 capoverso C.5.d dell’Atto di accordo di cui all’art. 2 comma 1, siglato fra Comune di Reggio Emilia e Iren Rinnovabili S.p.A. il 16.07.2014 ed approvato con DCC n. 42894/174 del 15.12.2014, è autorizzata, nel rispetto delle previsioni tutte di cui ai sopra citati atti, nonché di cui agli elaborati del PRU, “la delocalizzazione su aree, non destinate alla cessione in favore del Comune e da individuare, in una fase successiva, all’esterno del perimetro del PRU (leggi “PRU_IP-1a”), prioritariamente </w:t>
      </w:r>
      <w:r>
        <w:rPr>
          <w:rFonts w:cs="Trebuchet MS" w:ascii="Trebuchet MS" w:hAnsi="Trebuchet MS"/>
          <w:bCs/>
          <w:color w:val="00000A"/>
          <w:sz w:val="22"/>
          <w:szCs w:val="22"/>
        </w:rPr>
        <w:t>all’interno del sub-ambito “Area Reggiane”, parte del Polo funzionale PF-4, ovvero in subordine all’interno degli ambiti già pianificati di cui agli artt. da 4.2 a 4.6, nonché di cui agli artt. da 5.4 a 5.8 delle Norme di Attuazione del PSC, della potenzialità edificatoria (residua) connessa ai fabbricati capannone 17, capannone 18, nonché alla totalità delle aree interne al comparto di PRU, con la sola eccezione della potenzialità edificatoria connessa al fabbricato capannone 19 (Tecnopolo) che all’esito della progettazione urbanistica di cui al presente comma...e della successiva attuazione dell’intervento, sia destinata a non essere utilizzata all’interno del perimetro del medesimo comparto di PRU”.</w:t>
      </w:r>
    </w:p>
    <w:p>
      <w:pPr>
        <w:pStyle w:val="Standard"/>
        <w:widowControl w:val="false"/>
        <w:suppressLineNumbers/>
        <w:tabs>
          <w:tab w:val="left" w:pos="7143" w:leader="none"/>
          <w:tab w:val="left" w:pos="7369" w:leader="none"/>
        </w:tabs>
        <w:snapToGrid w:val="false"/>
        <w:ind w:left="567" w:hanging="567"/>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t>Le disposizioni di cui al precedente comma 1 si applicano, a mezzo della presente convenzione urbanistica e alle medesime condizioni, anche in riferimento alla potenzialità edificatoria residua connessa al fabbricato capannone 15 (capannoni 15a, 15b e 15c)</w:t>
      </w:r>
      <w:r>
        <w:rPr>
          <w:rFonts w:cs="Trebuchet MS" w:ascii="Trebuchet MS" w:hAnsi="Trebuchet MS"/>
          <w:bCs/>
          <w:color w:val="00000A"/>
          <w:sz w:val="22"/>
          <w:szCs w:val="22"/>
        </w:rPr>
        <w:t xml:space="preserve">, nonché alla potenzialità edificatoria espressa dalla totalità delle aree interne al </w:t>
      </w:r>
      <w:r>
        <w:rPr>
          <w:rFonts w:cs="Trebuchet MS" w:ascii="Trebuchet MS" w:hAnsi="Trebuchet MS"/>
          <w:color w:val="00000A"/>
          <w:sz w:val="22"/>
          <w:szCs w:val="22"/>
        </w:rPr>
        <w:t>“PRU_IP-1a.bis”</w:t>
      </w:r>
      <w:r>
        <w:rPr>
          <w:rFonts w:cs="Trebuchet MS" w:ascii="Trebuchet MS" w:hAnsi="Trebuchet MS"/>
          <w:bCs/>
          <w:color w:val="00000A"/>
          <w:sz w:val="22"/>
          <w:szCs w:val="22"/>
        </w:rPr>
        <w:t xml:space="preserve"> che, all’esito della progettazione urbanistica e della relativa attuazione, sia destinata a non essere utilizzata all’interno del perimetro del </w:t>
      </w:r>
      <w:r>
        <w:rPr>
          <w:rFonts w:cs="Trebuchet MS" w:ascii="Trebuchet MS" w:hAnsi="Trebuchet MS"/>
          <w:color w:val="00000A"/>
          <w:sz w:val="22"/>
          <w:szCs w:val="22"/>
        </w:rPr>
        <w:t xml:space="preserve">“PRU_IP-1a.bis” che estende il </w:t>
      </w:r>
      <w:r>
        <w:rPr>
          <w:rFonts w:cs="Trebuchet MS" w:ascii="Trebuchet MS" w:hAnsi="Trebuchet MS"/>
          <w:bCs/>
          <w:color w:val="00000A"/>
          <w:sz w:val="22"/>
          <w:szCs w:val="22"/>
        </w:rPr>
        <w:t>“PRU_IP-1a” di cui all’art. 1 comma 5.</w:t>
      </w:r>
    </w:p>
    <w:p>
      <w:pPr>
        <w:pStyle w:val="Standard"/>
        <w:widowControl w:val="false"/>
        <w:suppressLineNumbers/>
        <w:tabs>
          <w:tab w:val="left" w:pos="7143" w:leader="none"/>
          <w:tab w:val="left" w:pos="7369" w:leader="none"/>
        </w:tabs>
        <w:snapToGrid w:val="false"/>
        <w:ind w:left="567" w:hanging="567"/>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b/>
          <w:bCs/>
          <w:color w:val="00000A"/>
          <w:sz w:val="22"/>
          <w:szCs w:val="22"/>
        </w:rPr>
        <w:t>3.</w:t>
      </w:r>
      <w:r>
        <w:rPr>
          <w:rFonts w:cs="Trebuchet MS" w:ascii="Trebuchet MS" w:hAnsi="Trebuchet MS"/>
          <w:color w:val="00000A"/>
          <w:sz w:val="22"/>
          <w:szCs w:val="22"/>
        </w:rPr>
        <w:tab/>
        <w:t xml:space="preserve">Le disposizioni di cui ai precedenti commi 1 e 2 </w:t>
      </w:r>
      <w:r>
        <w:rPr>
          <w:rFonts w:cs="Trebuchet MS" w:ascii="Trebuchet MS" w:hAnsi="Trebuchet MS"/>
          <w:bCs/>
          <w:color w:val="00000A"/>
          <w:sz w:val="22"/>
          <w:szCs w:val="22"/>
        </w:rPr>
        <w:t>non si applicano alla potenzialità edificatoria connessa al fabbricato capannone 19 (Tecnopolo) in quanto tale edificio è già stato a suo tempo ceduto in proprietà al Comune di Reggio Emilia, in anticipazione rispetto all’approvazione e all’attuazione del PRU, e per esso trovano applicazione unicamente le previsioni e disposizioni tutte di cui all’Atto di accordo n. 55685 stipulato dal Comune di Reggio Emilia in data 23.06.2010 e sottoscritto dallo stesso Comune e dalla Società Fantuzzi Immobiliare S.p.A.</w:t>
      </w:r>
    </w:p>
    <w:p>
      <w:pPr>
        <w:pStyle w:val="Standard"/>
        <w:widowControl w:val="false"/>
        <w:suppressLineNumbers/>
        <w:tabs>
          <w:tab w:val="left" w:pos="7143" w:leader="none"/>
          <w:tab w:val="left" w:pos="7369" w:leader="none"/>
        </w:tabs>
        <w:snapToGrid w:val="false"/>
        <w:ind w:left="567" w:hanging="567"/>
        <w:jc w:val="both"/>
        <w:rPr>
          <w:rFonts w:ascii="Trebuchet MS" w:hAnsi="Trebuchet MS" w:cs="Trebuchet MS"/>
          <w:bCs/>
          <w:color w:val="00000A"/>
          <w:sz w:val="22"/>
          <w:szCs w:val="22"/>
        </w:rPr>
      </w:pPr>
      <w:r>
        <w:rPr>
          <w:rFonts w:cs="Trebuchet MS" w:ascii="Trebuchet MS" w:hAnsi="Trebuchet MS"/>
          <w:bCs/>
          <w:color w:val="00000A"/>
          <w:sz w:val="22"/>
          <w:szCs w:val="22"/>
        </w:rPr>
        <w:tab/>
        <w:t>Il capannone 19 (Tecnopolo), già realizzato e funzionante, rappresenta elemento prioritario e costitutivo della strategia di rigenerazione del PRU ed è vincolato ad ospitare destinazioni d’uso previste per le “Aree per attrezzature e spazi collettivi e per servizi generali” di cui all’art. 3.1.2 delle Norme di Attuazione del RUE, integrate con la possibilità di insediare, in attuazione all’Atto di accordo appena richiamato, anche “Attività manifatturiere industriali e artigianali” di cui alla lettera “c1” dell’art. 1.6.1 delle Norme di Attuazione del RUE.</w:t>
      </w:r>
    </w:p>
    <w:p>
      <w:pPr>
        <w:pStyle w:val="Standard"/>
        <w:widowControl w:val="false"/>
        <w:suppressLineNumbers/>
        <w:tabs>
          <w:tab w:val="left" w:pos="6576" w:leader="none"/>
          <w:tab w:val="left" w:pos="6802" w:leader="none"/>
        </w:tabs>
        <w:snapToGrid w:val="false"/>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567" w:hanging="567"/>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8</w:t>
        <w:tab/>
        <w:t>-</w:t>
        <w:tab/>
        <w:t>Oneri a carico del soggetto attuatore</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snapToGrid w:val="false"/>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In via generale e salva ogni miglior definizione convenzionale (da ritenersi ad ogni effetto prevalente sulle disposizioni della presente convenzione urbanistica) contenuta in Atti di accordo stipulati dal Comune di Reggio Emilia ai sensi della Legge n. 241/1990 e s.m.i., della LR 19/1998 e s.m.i., nonché della LR 20/2000 e s.m.i., ovvero contenuta in Atti costitutivi dello strumento attuativo previsto dall’art. 6 “Società per la trasformazione urbana” della LR 19/1998, gli oneri a carico del soggetto attuatore per la realizzazione del </w:t>
      </w:r>
      <w:r>
        <w:rPr>
          <w:rStyle w:val="Enfasiforte"/>
          <w:rFonts w:eastAsia="SimSun, 'Arial Unicode MS'" w:cs="Trebuchet MS" w:ascii="Trebuchet MS" w:hAnsi="Trebuchet MS"/>
          <w:b w:val="false"/>
          <w:bCs w:val="false"/>
          <w:color w:val="00000A"/>
          <w:sz w:val="22"/>
          <w:szCs w:val="22"/>
          <w:lang w:bidi="hi-IN"/>
        </w:rPr>
        <w:t>“PRU_IP - Bando Periferie Reggiane/SantaCroce”, con particolare anche se non esclusivo riferimento al “</w:t>
      </w:r>
      <w:r>
        <w:rPr>
          <w:rStyle w:val="Enfasiforte"/>
          <w:rFonts w:eastAsia="SimSun, 'Arial Unicode MS'" w:cs="Trebuchet MS" w:ascii="Trebuchet MS" w:hAnsi="Trebuchet MS"/>
          <w:b w:val="false"/>
          <w:bCs w:val="false"/>
          <w:i/>
          <w:color w:val="00000A"/>
          <w:sz w:val="22"/>
          <w:szCs w:val="22"/>
          <w:lang w:bidi="hi-IN"/>
        </w:rPr>
        <w:t>Quinto Atto di Accordo Integrativo</w:t>
      </w:r>
      <w:r>
        <w:rPr>
          <w:rStyle w:val="Enfasiforte"/>
          <w:rFonts w:eastAsia="SimSun, 'Arial Unicode MS'" w:cs="Trebuchet MS" w:ascii="Trebuchet MS" w:hAnsi="Trebuchet MS"/>
          <w:b w:val="false"/>
          <w:bCs w:val="false"/>
          <w:color w:val="00000A"/>
          <w:sz w:val="22"/>
          <w:szCs w:val="22"/>
          <w:lang w:bidi="hi-IN"/>
        </w:rPr>
        <w:t>” stipulato dal Comune di Reggio Emilia e da Iren Rinnovabili s.p.a. nonché al “</w:t>
      </w:r>
      <w:r>
        <w:rPr>
          <w:rStyle w:val="Enfasiforte"/>
          <w:rFonts w:eastAsia="SimSun, 'Arial Unicode MS'" w:cs="Trebuchet MS" w:ascii="Trebuchet MS" w:hAnsi="Trebuchet MS"/>
          <w:b w:val="false"/>
          <w:bCs w:val="false"/>
          <w:i/>
          <w:color w:val="00000A"/>
          <w:sz w:val="22"/>
          <w:szCs w:val="22"/>
          <w:lang w:bidi="hi-IN"/>
        </w:rPr>
        <w:t>Terzo Addendum</w:t>
      </w:r>
      <w:r>
        <w:rPr>
          <w:rFonts w:cs="Trebuchet MS" w:ascii="Trebuchet MS" w:hAnsi="Trebuchet MS"/>
          <w:i/>
          <w:color w:val="00000A"/>
          <w:sz w:val="22"/>
          <w:szCs w:val="22"/>
        </w:rPr>
        <w:t xml:space="preserve"> alla convenzione ai sensi dell’articolo 120 del d.lgs.18 agosto 2000 n. 267 e dell’articolo 6 della legge regionale 31 luglio 1998 n. 19 stipulata in data 1 giugno 2016 tra il Comune di Reggio Emilia e la società per azioni “Conoscenza, Innovazione, Creatività, Memoria. Società per la Trasformazione Urbana in Reggio Emilia</w:t>
      </w:r>
      <w:r>
        <w:rPr>
          <w:rFonts w:cs="Trebuchet MS" w:ascii="Trebuchet MS" w:hAnsi="Trebuchet MS"/>
          <w:color w:val="00000A"/>
          <w:sz w:val="22"/>
          <w:szCs w:val="22"/>
        </w:rPr>
        <w:t>” stipulata dal Comune di Reggio nell’Emilia e STU Reggiane s.p.a., consistono, in via generale, nella:</w:t>
      </w:r>
    </w:p>
    <w:p>
      <w:pPr>
        <w:pStyle w:val="Standard"/>
        <w:widowControl w:val="false"/>
        <w:suppressLineNumbers/>
        <w:tabs>
          <w:tab w:val="left" w:pos="7143" w:leader="none"/>
          <w:tab w:val="left" w:pos="7369" w:leader="none"/>
        </w:tabs>
        <w:snapToGrid w:val="false"/>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a)</w:t>
        <w:tab/>
        <w:t>cessione al Comune di Reggio Emilia e/o iscrizione di diritto di uso pubblico, o monetizzazione, delle aree destinate alla realizzazione di infrastrutture per l’urbanizzazione degli insediamenti;</w:t>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b)</w:t>
        <w:tab/>
        <w:t>cessione al Comune di Reggio Emilia e/o iscrizione di diritto di uso pubblico, delle aree destinate alla realizzazione di attrezzature e spazi collettivi o a dotazioni ecologiche e ambientali;</w:t>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c)</w:t>
        <w:tab/>
        <w:t>realizzazione delle dotazioni territoriali per infrastrutture per l’urbanizzazione degli insediamenti all’interno del comparto;</w:t>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d)</w:t>
        <w:tab/>
        <w:t>assunzione di costi relativi ai collaudi e agli altri servizi relativi al procedimento tecnico-amministrativo di realizzazione delle dotazioni territoriali, di competenza dell’Amministrazione Comunale, secondo le modalità di cui al successivo articolo 15;</w:t>
      </w:r>
    </w:p>
    <w:p>
      <w:pPr>
        <w:pStyle w:val="Standard"/>
        <w:ind w:left="850" w:hanging="283"/>
        <w:jc w:val="both"/>
        <w:rPr>
          <w:color w:val="00000A"/>
        </w:rPr>
      </w:pPr>
      <w:r>
        <w:rPr>
          <w:rFonts w:cs="Trebuchet MS" w:ascii="Trebuchet MS" w:hAnsi="Trebuchet MS"/>
          <w:color w:val="00000A"/>
          <w:sz w:val="22"/>
          <w:szCs w:val="22"/>
        </w:rPr>
        <w:t>e)</w:t>
        <w:tab/>
        <w:t>realizzazione di “Aree per il verde pubblico e attrezzature e spazi collettivi” (</w:t>
      </w:r>
      <w:r>
        <w:rPr>
          <w:rFonts w:eastAsia="SimSun, 'Arial Unicode MS'" w:cs="Trebuchet MS" w:ascii="Trebuchet MS" w:hAnsi="Trebuchet MS"/>
          <w:color w:val="00000A"/>
          <w:sz w:val="22"/>
          <w:lang w:bidi="hi-IN"/>
        </w:rPr>
        <w:t>SVP</w:t>
      </w:r>
      <w:r>
        <w:rPr>
          <w:rFonts w:cs="Trebuchet MS" w:ascii="Trebuchet MS" w:hAnsi="Trebuchet MS"/>
          <w:color w:val="00000A"/>
          <w:sz w:val="22"/>
          <w:szCs w:val="22"/>
        </w:rPr>
        <w:t>) o monetizzazione equivalente;</w:t>
      </w:r>
    </w:p>
    <w:p>
      <w:pPr>
        <w:pStyle w:val="Standard"/>
        <w:ind w:left="850" w:hanging="283"/>
        <w:jc w:val="both"/>
        <w:rPr>
          <w:color w:val="00000A"/>
        </w:rPr>
      </w:pPr>
      <w:r>
        <w:rPr>
          <w:rFonts w:cs="Trebuchet MS" w:ascii="Trebuchet MS" w:hAnsi="Trebuchet MS"/>
          <w:iCs/>
          <w:color w:val="00000A"/>
          <w:sz w:val="22"/>
          <w:szCs w:val="22"/>
        </w:rPr>
        <w:t>f)</w:t>
        <w:tab/>
        <w:t>verifica ed eventuale versamento, in sede di titolo abilitativo se necessario, dei crediti volontari di carbonio al fine di bilanciare eventuali emissioni climalteranti derivanti dall’intervento;</w:t>
      </w:r>
    </w:p>
    <w:p>
      <w:pPr>
        <w:pStyle w:val="Standard"/>
        <w:ind w:left="850" w:hanging="283"/>
        <w:jc w:val="both"/>
        <w:rPr>
          <w:color w:val="00000A"/>
        </w:rPr>
      </w:pPr>
      <w:r>
        <w:rPr>
          <w:rFonts w:cs="Trebuchet MS" w:ascii="Trebuchet MS" w:hAnsi="Trebuchet MS"/>
          <w:color w:val="00000A"/>
          <w:sz w:val="22"/>
          <w:szCs w:val="22"/>
        </w:rPr>
        <w:t>g)</w:t>
        <w:tab/>
        <w:t>realizzazione e trasferimento al Comune delle Opere e degli interventi che concorrono a migliorare e riequilibrare ecologicamente l'ambiente urbano ai sensi dell'articolo A-25 dell'Allegato alla l.r. 20/2000.</w:t>
      </w:r>
    </w:p>
    <w:p>
      <w:pPr>
        <w:pStyle w:val="Standard"/>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ind w:left="567" w:hanging="567"/>
        <w:jc w:val="both"/>
        <w:rPr>
          <w:color w:val="00000A"/>
        </w:rPr>
      </w:pPr>
      <w:r>
        <w:rPr>
          <w:rFonts w:cs="Trebuchet MS" w:ascii="Trebuchet MS" w:hAnsi="Trebuchet MS"/>
          <w:color w:val="00000A"/>
          <w:sz w:val="22"/>
          <w:szCs w:val="22"/>
        </w:rPr>
        <w:t>2.</w:t>
        <w:tab/>
        <w:t>I termini e le modalità di adempimento delle obbligazioni di cui al comma 1 sono precisati negli articoli seguenti, fermo restando il richiamo e la prevalenza degli atti di cui al primo capoverso del comma 1.</w:t>
      </w:r>
    </w:p>
    <w:p>
      <w:pPr>
        <w:pStyle w:val="Standard"/>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567" w:hanging="567"/>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1020" w:hanging="1020"/>
        <w:jc w:val="both"/>
        <w:rPr>
          <w:color w:val="00000A"/>
        </w:rPr>
      </w:pPr>
      <w:r>
        <w:rPr>
          <w:rFonts w:cs="Trebuchet MS" w:ascii="Trebuchet MS" w:hAnsi="Trebuchet MS"/>
          <w:b/>
          <w:bCs/>
          <w:color w:val="00000A"/>
          <w:sz w:val="22"/>
          <w:szCs w:val="22"/>
        </w:rPr>
        <w:t>Art. 9</w:t>
        <w:tab/>
        <w:t>-</w:t>
        <w:tab/>
        <w:t>Cessione e/o costituzione di servitù di uso pubblico in relazione alle aree destinate alla realizzazione di infrastrutture per l’urbanizzazione degli insediamenti ed eventuale monetizzazione</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r>
      <w:r>
        <w:rPr>
          <w:rFonts w:cs="Trebuchet MS" w:ascii="Trebuchet MS" w:hAnsi="Trebuchet MS"/>
          <w:b/>
          <w:bCs/>
          <w:color w:val="00000A"/>
          <w:sz w:val="22"/>
          <w:szCs w:val="22"/>
        </w:rPr>
        <w:t>Cessione delle aree</w:t>
      </w:r>
    </w:p>
    <w:p>
      <w:pPr>
        <w:pStyle w:val="Standard"/>
        <w:widowControl w:val="false"/>
        <w:suppressLineNumbers/>
        <w:snapToGrid w:val="false"/>
        <w:ind w:left="567" w:hanging="0"/>
        <w:jc w:val="both"/>
        <w:rPr>
          <w:color w:val="00000A"/>
        </w:rPr>
      </w:pPr>
      <w:r>
        <w:rPr>
          <w:rFonts w:cs="Trebuchet MS" w:ascii="Trebuchet MS" w:hAnsi="Trebuchet MS"/>
          <w:color w:val="00000A"/>
          <w:sz w:val="22"/>
          <w:szCs w:val="22"/>
        </w:rPr>
        <w:t xml:space="preserve">Il soggetto attuatore, quando proprietario delle aree destinate alla realizzazione di infrastrutture per l’urbanizzazione degli insediamenti </w:t>
      </w:r>
      <w:r>
        <w:rPr>
          <w:rStyle w:val="Enfasiforte"/>
          <w:rFonts w:cs="Trebuchet MS" w:ascii="Trebuchet MS" w:hAnsi="Trebuchet MS"/>
          <w:b w:val="false"/>
          <w:bCs w:val="false"/>
          <w:color w:val="00000A"/>
          <w:sz w:val="22"/>
          <w:szCs w:val="22"/>
        </w:rPr>
        <w:t xml:space="preserve">del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xml:space="preserve"> di cui alla presente convenzione, si obbliga a cedere al Comune di Reggio Emilia, le aree destinate alla realizzazione delle infrastrutture per l’urbanizzazione degli insediamenti censite al N.C.E.U. del Comune di Reggio Emilia al foglio n. ______ , mappali n. ______ , per estesi mq ______ , come da tipo di frazionamento n. ______ del ______ , identificate nella tavola n. 14 “Inquadramento catastale” così come specificato nella tavola n. 14.1 “Assetto catastale per fogli e proprietà” del PRU.</w:t>
      </w:r>
    </w:p>
    <w:p>
      <w:pPr>
        <w:pStyle w:val="Standard"/>
        <w:widowControl w:val="false"/>
        <w:suppressLineNumbers/>
        <w:snapToGrid w:val="false"/>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Textbody"/>
        <w:spacing w:lineRule="auto" w:line="240"/>
        <w:ind w:left="567" w:right="0" w:hanging="0"/>
        <w:rPr>
          <w:color w:val="00000A"/>
        </w:rPr>
      </w:pPr>
      <w:r>
        <w:rPr>
          <w:rFonts w:cs="Trebuchet MS" w:ascii="Trebuchet MS" w:hAnsi="Trebuchet MS"/>
          <w:color w:val="00000A"/>
          <w:sz w:val="22"/>
          <w:szCs w:val="22"/>
        </w:rPr>
        <w:t>Le aree cedute dovranno essere prive di servitù e gravami di alcun genere,</w:t>
      </w:r>
      <w:r>
        <w:rPr>
          <w:rFonts w:cs="Trebuchet MS" w:ascii="Trebuchet MS" w:hAnsi="Trebuchet MS"/>
          <w:b/>
          <w:bCs/>
          <w:color w:val="00000A"/>
          <w:sz w:val="22"/>
          <w:szCs w:val="22"/>
        </w:rPr>
        <w:t xml:space="preserve"> </w:t>
      </w:r>
      <w:r>
        <w:rPr>
          <w:rFonts w:cs="Trebuchet MS" w:ascii="Trebuchet MS" w:hAnsi="Trebuchet MS"/>
          <w:color w:val="00000A"/>
          <w:sz w:val="22"/>
          <w:szCs w:val="22"/>
        </w:rPr>
        <w:t>fatta eccezione per le servitù esistenti (quali elettrodotti o reti interrate) che non possano essere rimosse o delocalizzate e che dovranno comunque consentire il corretto utilizzo delle stesse.</w:t>
      </w:r>
    </w:p>
    <w:p>
      <w:pPr>
        <w:pStyle w:val="Textbody"/>
        <w:spacing w:lineRule="auto" w:line="240"/>
        <w:ind w:left="567" w:right="0" w:hanging="0"/>
        <w:rPr>
          <w:rFonts w:ascii="Trebuchet MS" w:hAnsi="Trebuchet MS" w:cs="Trebuchet MS"/>
          <w:color w:val="00000A"/>
          <w:sz w:val="22"/>
          <w:szCs w:val="22"/>
        </w:rPr>
      </w:pPr>
      <w:r>
        <w:rPr>
          <w:rFonts w:cs="Trebuchet MS" w:ascii="Trebuchet MS" w:hAnsi="Trebuchet MS"/>
          <w:color w:val="00000A"/>
          <w:sz w:val="22"/>
          <w:szCs w:val="22"/>
        </w:rPr>
        <w:t>Gli effetti attivi e passivi della cessione si intendono riferiti al momento della cessione stessa delle aree.</w:t>
      </w:r>
    </w:p>
    <w:p>
      <w:pPr>
        <w:pStyle w:val="Textbody"/>
        <w:spacing w:lineRule="auto" w:line="240"/>
        <w:ind w:left="567" w:right="0" w:hanging="0"/>
        <w:rPr>
          <w:rFonts w:ascii="Trebuchet MS" w:hAnsi="Trebuchet MS" w:cs="Trebuchet MS"/>
          <w:color w:val="00000A"/>
          <w:sz w:val="22"/>
          <w:szCs w:val="22"/>
        </w:rPr>
      </w:pPr>
      <w:r>
        <w:rPr>
          <w:rFonts w:cs="Trebuchet MS" w:ascii="Trebuchet MS" w:hAnsi="Trebuchet MS"/>
          <w:color w:val="00000A"/>
          <w:sz w:val="22"/>
          <w:szCs w:val="22"/>
        </w:rPr>
        <w:t>La proprietà garantisce la piena proprietà e la libera disponibilità delle aree suddette, nonché la loro completa libertà da ipoteche, vincoli, oneri reali, trascrizioni pregiudizievoli e privilegi anche fiscali in genere.</w:t>
      </w:r>
    </w:p>
    <w:p>
      <w:pPr>
        <w:pStyle w:val="Textbody"/>
        <w:spacing w:lineRule="auto" w:line="240"/>
        <w:ind w:right="0" w:hanging="0"/>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r>
      <w:r>
        <w:rPr>
          <w:rFonts w:cs="Trebuchet MS" w:ascii="Trebuchet MS" w:hAnsi="Trebuchet MS"/>
          <w:b/>
          <w:bCs/>
          <w:color w:val="00000A"/>
          <w:sz w:val="22"/>
          <w:szCs w:val="22"/>
        </w:rPr>
        <w:t>Costituzione di  servitù di uso pubblico.</w:t>
      </w:r>
    </w:p>
    <w:p>
      <w:pPr>
        <w:pStyle w:val="Corpodeltesto21"/>
        <w:spacing w:lineRule="auto" w:line="240"/>
        <w:ind w:left="567" w:right="0" w:hanging="0"/>
        <w:rPr>
          <w:color w:val="00000A"/>
        </w:rPr>
      </w:pPr>
      <w:r>
        <w:rPr>
          <w:rFonts w:cs="Trebuchet MS" w:ascii="Trebuchet MS" w:hAnsi="Trebuchet MS"/>
          <w:i w:val="false"/>
          <w:iCs w:val="false"/>
          <w:color w:val="00000A"/>
          <w:sz w:val="22"/>
          <w:szCs w:val="22"/>
        </w:rPr>
        <w:t xml:space="preserve">In alternativa alla cessione delle aree o di parte delle stesse, è prevista, conformemente al parere dei competenti Uffici Comunali, che il soggetto attuatore, costituisca </w:t>
      </w:r>
      <w:r>
        <w:rPr>
          <w:rFonts w:cs="Trebuchet MS" w:ascii="Trebuchet MS" w:hAnsi="Trebuchet MS"/>
          <w:b/>
          <w:bCs/>
          <w:i w:val="false"/>
          <w:iCs w:val="false"/>
          <w:color w:val="00000A"/>
          <w:sz w:val="22"/>
          <w:szCs w:val="22"/>
        </w:rPr>
        <w:t xml:space="preserve"> servitù </w:t>
      </w:r>
      <w:r>
        <w:rPr>
          <w:rFonts w:cs="Trebuchet MS" w:ascii="Trebuchet MS" w:hAnsi="Trebuchet MS"/>
          <w:i w:val="false"/>
          <w:iCs w:val="false"/>
          <w:color w:val="00000A"/>
          <w:sz w:val="22"/>
          <w:szCs w:val="22"/>
        </w:rPr>
        <w:t xml:space="preserve"> di uso pubblico sulle aree censite al N.C.E.U. del Comune di Reggio Emilia al foglio n. ______ , mappali n. ______ .</w:t>
      </w:r>
    </w:p>
    <w:p>
      <w:pPr>
        <w:pStyle w:val="Corpodeltesto21"/>
        <w:spacing w:lineRule="auto" w:line="240"/>
        <w:ind w:left="567" w:right="0" w:hanging="0"/>
        <w:rPr>
          <w:color w:val="00000A"/>
        </w:rPr>
      </w:pPr>
      <w:r>
        <w:rPr>
          <w:rFonts w:cs="Trebuchet MS" w:ascii="Trebuchet MS" w:hAnsi="Trebuchet MS"/>
          <w:i w:val="false"/>
          <w:iCs w:val="false"/>
          <w:color w:val="00000A"/>
          <w:sz w:val="22"/>
          <w:szCs w:val="22"/>
        </w:rPr>
        <w:t>In tal caso, l’obbligo e l’onere della manutenzione ordinaria e straordinaria di dette aree e delle opere che sulle stesse verranno realizzate rimarranno a carico del soggetto attuatore e i suoi aventi causa, il quale si obbliga altresì a riportare per esteso detto onere, in tutti gli atti di vendita delle aree ricomprese nel comparto.</w:t>
      </w:r>
    </w:p>
    <w:p>
      <w:pPr>
        <w:pStyle w:val="Corpodeltesto21"/>
        <w:spacing w:lineRule="auto" w:line="240"/>
        <w:ind w:right="0" w:hanging="0"/>
        <w:rPr>
          <w:rFonts w:ascii="Trebuchet MS" w:hAnsi="Trebuchet MS" w:cs="Trebuchet MS"/>
          <w:color w:val="00000A"/>
        </w:rPr>
      </w:pPr>
      <w:r>
        <w:rPr>
          <w:rFonts w:cs="Trebuchet MS" w:ascii="Trebuchet MS" w:hAnsi="Trebuchet MS"/>
          <w:color w:val="00000A"/>
        </w:rPr>
      </w:r>
    </w:p>
    <w:p>
      <w:pPr>
        <w:pStyle w:val="Corpodeltesto21"/>
        <w:spacing w:lineRule="auto" w:line="240"/>
        <w:ind w:left="567" w:right="0" w:hanging="567"/>
        <w:rPr>
          <w:color w:val="00000A"/>
        </w:rPr>
      </w:pPr>
      <w:r>
        <w:rPr>
          <w:rFonts w:cs="Trebuchet MS" w:ascii="Trebuchet MS" w:hAnsi="Trebuchet MS"/>
          <w:b/>
          <w:bCs/>
          <w:i w:val="false"/>
          <w:iCs w:val="false"/>
          <w:color w:val="00000A"/>
          <w:sz w:val="22"/>
          <w:szCs w:val="22"/>
        </w:rPr>
        <w:t>3.</w:t>
      </w:r>
      <w:r>
        <w:rPr>
          <w:rFonts w:cs="Trebuchet MS" w:ascii="Trebuchet MS" w:hAnsi="Trebuchet MS"/>
          <w:i w:val="false"/>
          <w:iCs w:val="false"/>
          <w:color w:val="00000A"/>
          <w:sz w:val="22"/>
          <w:szCs w:val="22"/>
        </w:rPr>
        <w:tab/>
      </w:r>
      <w:r>
        <w:rPr>
          <w:rFonts w:cs="Trebuchet MS" w:ascii="Trebuchet MS" w:hAnsi="Trebuchet MS"/>
          <w:b/>
          <w:bCs/>
          <w:i w:val="false"/>
          <w:iCs w:val="false"/>
          <w:color w:val="00000A"/>
          <w:sz w:val="22"/>
          <w:szCs w:val="22"/>
        </w:rPr>
        <w:t>Eventuale monetizzazione delle dotazioni di parcheggi pubblici a diretto servizio dell’insediamento (P2)</w:t>
      </w:r>
    </w:p>
    <w:p>
      <w:pPr>
        <w:pStyle w:val="Textbody"/>
        <w:spacing w:lineRule="auto" w:line="240"/>
        <w:ind w:left="567" w:right="0" w:hanging="0"/>
        <w:rPr>
          <w:color w:val="00000A"/>
        </w:rPr>
      </w:pPr>
      <w:r>
        <w:rPr>
          <w:rFonts w:cs="Trebuchet MS" w:ascii="Trebuchet MS" w:hAnsi="Trebuchet MS"/>
          <w:color w:val="00000A"/>
          <w:sz w:val="22"/>
          <w:szCs w:val="22"/>
        </w:rPr>
        <w:t>Le aree per dotazioni di parcheggi pubblici a diretto servizio dell’insediamento (P2) che competono al comparto e che non vengono realizzate, assommano a complessivi mq ______ .</w:t>
      </w:r>
    </w:p>
    <w:p>
      <w:pPr>
        <w:pStyle w:val="Textbody"/>
        <w:spacing w:lineRule="auto" w:line="240"/>
        <w:ind w:left="567" w:right="0" w:hanging="0"/>
        <w:rPr>
          <w:color w:val="00000A"/>
        </w:rPr>
      </w:pPr>
      <w:r>
        <w:rPr>
          <w:rFonts w:cs="Trebuchet MS" w:ascii="Trebuchet MS" w:hAnsi="Trebuchet MS"/>
          <w:color w:val="00000A"/>
          <w:sz w:val="22"/>
          <w:szCs w:val="22"/>
        </w:rPr>
        <w:t>Dette aree sono monetizzate al costo tabellare di € ______ al mq, così come previsto dagli appositi provvedimenti.</w:t>
      </w:r>
    </w:p>
    <w:p>
      <w:pPr>
        <w:pStyle w:val="Textbody"/>
        <w:spacing w:lineRule="auto" w:line="240"/>
        <w:ind w:left="567" w:right="0" w:hanging="0"/>
        <w:rPr>
          <w:rFonts w:ascii="Trebuchet MS" w:hAnsi="Trebuchet MS" w:cs="Trebuchet MS"/>
          <w:color w:val="00000A"/>
          <w:sz w:val="22"/>
          <w:szCs w:val="22"/>
        </w:rPr>
      </w:pPr>
      <w:r>
        <w:rPr>
          <w:rFonts w:cs="Trebuchet MS" w:ascii="Trebuchet MS" w:hAnsi="Trebuchet MS"/>
          <w:color w:val="00000A"/>
          <w:sz w:val="22"/>
          <w:szCs w:val="22"/>
        </w:rPr>
        <w:t>L’importo complessivo della monetizzazione di dette aree, risulta essere il seguente:</w:t>
      </w:r>
    </w:p>
    <w:p>
      <w:pPr>
        <w:pStyle w:val="Textbody"/>
        <w:spacing w:lineRule="auto" w:line="240"/>
        <w:ind w:left="567" w:right="0" w:hanging="0"/>
        <w:rPr>
          <w:color w:val="00000A"/>
        </w:rPr>
      </w:pPr>
      <w:r>
        <w:rPr>
          <w:rFonts w:cs="Trebuchet MS" w:ascii="Trebuchet MS" w:hAnsi="Trebuchet MS"/>
          <w:color w:val="00000A"/>
          <w:sz w:val="22"/>
          <w:szCs w:val="22"/>
        </w:rPr>
        <w:t>mq ______ x €/mq ______ = € ______ ( € __________________ ).</w:t>
      </w:r>
    </w:p>
    <w:p>
      <w:pPr>
        <w:pStyle w:val="Standard"/>
        <w:ind w:left="567" w:hanging="0"/>
        <w:jc w:val="both"/>
        <w:rPr>
          <w:color w:val="00000A"/>
        </w:rPr>
      </w:pPr>
      <w:r>
        <w:rPr>
          <w:rFonts w:cs="Trebuchet MS" w:ascii="Trebuchet MS" w:hAnsi="Trebuchet MS"/>
          <w:color w:val="00000A"/>
          <w:sz w:val="22"/>
          <w:szCs w:val="22"/>
        </w:rPr>
        <w:t>La suddetta somma di € ______ (€ __________________ ) deve essere corrisposta contestualmente alla stipula della presente convenzione, a titolo di monetizzazione, in luogo della realizzazione delle aree destinate a parcheggi pubblici (P2).</w:t>
      </w:r>
    </w:p>
    <w:p>
      <w:pPr>
        <w:pStyle w:val="Standard"/>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567" w:hanging="567"/>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10</w:t>
        <w:tab/>
        <w:t>-</w:t>
        <w:tab/>
        <w:t>Cessione e/o asservimento ad uso pubblico delle aree destinate alla realizzazione di attrezzature e spazi collettivi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r>
      <w:r>
        <w:rPr>
          <w:rFonts w:cs="Trebuchet MS" w:ascii="Trebuchet MS" w:hAnsi="Trebuchet MS"/>
          <w:b/>
          <w:bCs/>
          <w:color w:val="00000A"/>
          <w:sz w:val="22"/>
          <w:szCs w:val="22"/>
        </w:rPr>
        <w:t>Cessione delle Aree</w:t>
      </w:r>
    </w:p>
    <w:p>
      <w:pPr>
        <w:pStyle w:val="Standard"/>
        <w:ind w:left="567" w:hanging="0"/>
        <w:jc w:val="both"/>
        <w:rPr>
          <w:color w:val="00000A"/>
        </w:rPr>
      </w:pPr>
      <w:r>
        <w:rPr>
          <w:rFonts w:cs="Trebuchet MS" w:ascii="Trebuchet MS" w:hAnsi="Trebuchet MS"/>
          <w:color w:val="00000A"/>
          <w:sz w:val="22"/>
          <w:szCs w:val="22"/>
        </w:rPr>
        <w:t>Il soggetto attuatore si obbliga a cedere al Comune di Reggio Emilia, le aree destinate alla realizzazione di attrezzature e spazi collettivi, censite al N.C.E.U. del Comune di Reggio Emilia al foglio n. ______ , mappali n. ______ , per estesi mq ______ , come da tipo di frazionamento n. ______ del ______ , identificate nella tavola n. 14 “Inquadramento catastale” così come specificato nella tavola n. 14.1 “Assetto catastale per fogli e proprietà” del PRU.</w:t>
      </w:r>
    </w:p>
    <w:p>
      <w:pPr>
        <w:pStyle w:val="Textbody"/>
        <w:spacing w:lineRule="auto" w:line="240"/>
        <w:ind w:left="567" w:right="0" w:hanging="0"/>
        <w:rPr>
          <w:rFonts w:ascii="Trebuchet MS" w:hAnsi="Trebuchet MS" w:cs="Trebuchet MS"/>
          <w:color w:val="00000A"/>
          <w:sz w:val="22"/>
          <w:szCs w:val="22"/>
        </w:rPr>
      </w:pPr>
      <w:r>
        <w:rPr>
          <w:rFonts w:cs="Trebuchet MS" w:ascii="Trebuchet MS" w:hAnsi="Trebuchet MS"/>
          <w:color w:val="00000A"/>
          <w:sz w:val="22"/>
          <w:szCs w:val="22"/>
        </w:rPr>
        <w:t>Le aree cedute dovranno essere prive di servitù e gravami di alcun genere, fatta eccezione per le servitù esistenti (quali elettrodotti o reti interrate) che non possano essere tolte o delocalizzate e che dovranno comunque consentire il corretto utilizzo delle stesse.</w:t>
      </w:r>
    </w:p>
    <w:p>
      <w:pPr>
        <w:pStyle w:val="Textbody"/>
        <w:spacing w:lineRule="auto" w:line="240"/>
        <w:ind w:left="567" w:right="0" w:hanging="0"/>
        <w:rPr>
          <w:rFonts w:ascii="Trebuchet MS" w:hAnsi="Trebuchet MS" w:cs="Trebuchet MS"/>
          <w:color w:val="00000A"/>
          <w:sz w:val="22"/>
          <w:szCs w:val="22"/>
        </w:rPr>
      </w:pPr>
      <w:r>
        <w:rPr>
          <w:rFonts w:cs="Trebuchet MS" w:ascii="Trebuchet MS" w:hAnsi="Trebuchet MS"/>
          <w:color w:val="00000A"/>
          <w:sz w:val="22"/>
          <w:szCs w:val="22"/>
        </w:rPr>
        <w:t>Gli effetti attivi e passivi della cessione si intendono riferiti al momento della cessione stessa delle aree.</w:t>
      </w:r>
    </w:p>
    <w:p>
      <w:pPr>
        <w:pStyle w:val="Textbody"/>
        <w:spacing w:lineRule="auto" w:line="240"/>
        <w:ind w:left="567" w:right="0" w:hanging="0"/>
        <w:rPr>
          <w:rFonts w:ascii="Trebuchet MS" w:hAnsi="Trebuchet MS" w:cs="Trebuchet MS"/>
          <w:color w:val="00000A"/>
          <w:sz w:val="22"/>
          <w:szCs w:val="22"/>
        </w:rPr>
      </w:pPr>
      <w:r>
        <w:rPr>
          <w:rFonts w:cs="Trebuchet MS" w:ascii="Trebuchet MS" w:hAnsi="Trebuchet MS"/>
          <w:color w:val="00000A"/>
          <w:sz w:val="22"/>
          <w:szCs w:val="22"/>
        </w:rPr>
        <w:t>La proprietà garantisce la piena proprietà e la libera disponibilità delle aree suddette, nonché la loro completa libertà da ipoteche, vincoli, oneri reali, trascrizioni pregiudizievoli e privilegi anche fiscali in genere.</w:t>
      </w:r>
    </w:p>
    <w:p>
      <w:pPr>
        <w:pStyle w:val="Textbody"/>
        <w:spacing w:lineRule="auto" w:line="240"/>
        <w:ind w:right="0" w:hanging="0"/>
        <w:rPr>
          <w:rFonts w:ascii="Trebuchet MS" w:hAnsi="Trebuchet MS" w:cs="Trebuchet MS"/>
          <w:color w:val="00000A"/>
          <w:sz w:val="22"/>
        </w:rPr>
      </w:pPr>
      <w:r>
        <w:rPr>
          <w:rFonts w:cs="Trebuchet MS" w:ascii="Trebuchet MS" w:hAnsi="Trebuchet MS"/>
          <w:color w:val="00000A"/>
          <w:sz w:val="22"/>
        </w:rPr>
      </w:r>
    </w:p>
    <w:p>
      <w:pPr>
        <w:pStyle w:val="Standard"/>
        <w:widowControl w:val="false"/>
        <w:suppressLineNumbers/>
        <w:tabs>
          <w:tab w:val="left" w:pos="7143" w:leader="none"/>
          <w:tab w:val="left" w:pos="7369" w:leader="none"/>
        </w:tabs>
        <w:snapToGrid w:val="false"/>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r>
      <w:r>
        <w:rPr>
          <w:rFonts w:cs="Trebuchet MS" w:ascii="Trebuchet MS" w:hAnsi="Trebuchet MS"/>
          <w:b/>
          <w:bCs/>
          <w:color w:val="00000A"/>
          <w:sz w:val="22"/>
          <w:szCs w:val="22"/>
        </w:rPr>
        <w:t>Costituzione di  servitù di  uso pubblico</w:t>
      </w:r>
    </w:p>
    <w:p>
      <w:pPr>
        <w:pStyle w:val="Corpodeltesto21"/>
        <w:spacing w:lineRule="auto" w:line="240"/>
        <w:ind w:left="567" w:right="0" w:hanging="0"/>
        <w:rPr>
          <w:color w:val="00000A"/>
        </w:rPr>
      </w:pPr>
      <w:r>
        <w:rPr>
          <w:rFonts w:cs="Trebuchet MS" w:ascii="Trebuchet MS" w:hAnsi="Trebuchet MS"/>
          <w:i w:val="false"/>
          <w:iCs w:val="false"/>
          <w:color w:val="00000A"/>
          <w:sz w:val="22"/>
          <w:szCs w:val="22"/>
        </w:rPr>
        <w:t xml:space="preserve">In alternativa alla cessione delle aree o di parte delle stesse, è prevista, conformemente al parere dei competenti Uffici Comunali, che il soggetto attuatore, costituisca </w:t>
      </w:r>
      <w:r>
        <w:rPr>
          <w:rFonts w:cs="Trebuchet MS" w:ascii="Trebuchet MS" w:hAnsi="Trebuchet MS"/>
          <w:b/>
          <w:bCs/>
          <w:i w:val="false"/>
          <w:iCs w:val="false"/>
          <w:color w:val="00000A"/>
          <w:sz w:val="22"/>
          <w:szCs w:val="22"/>
        </w:rPr>
        <w:t xml:space="preserve"> servitù </w:t>
      </w:r>
      <w:r>
        <w:rPr>
          <w:rFonts w:cs="Trebuchet MS" w:ascii="Trebuchet MS" w:hAnsi="Trebuchet MS"/>
          <w:i w:val="false"/>
          <w:iCs w:val="false"/>
          <w:color w:val="00000A"/>
          <w:sz w:val="22"/>
          <w:szCs w:val="22"/>
        </w:rPr>
        <w:t>di uso pubblico sulle aree censite al N.C.E.U. del Comune di Reggio Emilia al foglio n. ______ , mappali n. ______ .</w:t>
      </w:r>
    </w:p>
    <w:p>
      <w:pPr>
        <w:pStyle w:val="Standard"/>
        <w:widowControl w:val="false"/>
        <w:suppressLineNumbers/>
        <w:tabs>
          <w:tab w:val="left" w:pos="7143" w:leader="none"/>
          <w:tab w:val="left" w:pos="7369" w:leader="none"/>
        </w:tabs>
        <w:snapToGrid w:val="false"/>
        <w:ind w:left="567" w:hanging="0"/>
        <w:jc w:val="both"/>
        <w:rPr>
          <w:rFonts w:ascii="Trebuchet MS" w:hAnsi="Trebuchet MS" w:cs="Trebuchet MS"/>
          <w:color w:val="00000A"/>
          <w:sz w:val="22"/>
          <w:szCs w:val="22"/>
        </w:rPr>
      </w:pPr>
      <w:r>
        <w:rPr>
          <w:rFonts w:cs="Trebuchet MS" w:ascii="Trebuchet MS" w:hAnsi="Trebuchet MS"/>
          <w:color w:val="00000A"/>
          <w:sz w:val="22"/>
          <w:szCs w:val="22"/>
        </w:rPr>
        <w:t>In tal caso, l’obbligo e l’onere della manutenzione ordinaria e straordinaria di dette aree e delle opere che sulle stesse verranno realizzate rimarranno a carico del soggetto attuatore e i suoi aventi causa, il quale si obbliga altresì a riportare per esteso detto onere, in tutti gli atti di vendita delle aree ricomprese nel comparto.</w:t>
      </w:r>
    </w:p>
    <w:p>
      <w:pPr>
        <w:pStyle w:val="Standard"/>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ind w:left="567" w:hanging="567"/>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11</w:t>
        <w:tab/>
        <w:t>-</w:t>
        <w:tab/>
        <w:t>Realizzazione delle infrastrutture per l’urbanizzazione degli insediamenti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Il soggetto attuatore si obbliga a realizzare, a propria cura e proprie spese, in conformità ai progetti esecutivi da approvarsi con apposito titolo abilitante alla costruzione, le seguenti infrastrutture per l’urbanizzazione degli insediamenti interne al comparto:</w:t>
      </w:r>
    </w:p>
    <w:p>
      <w:pPr>
        <w:pStyle w:val="Standard"/>
        <w:ind w:left="850" w:hanging="283"/>
        <w:jc w:val="both"/>
        <w:rPr>
          <w:color w:val="00000A"/>
        </w:rPr>
      </w:pPr>
      <w:r>
        <w:rPr>
          <w:rFonts w:eastAsia="Trebuchet MS" w:cs="Trebuchet MS" w:ascii="Trebuchet MS" w:hAnsi="Trebuchet MS"/>
          <w:color w:val="00000A"/>
          <w:sz w:val="22"/>
          <w:szCs w:val="22"/>
        </w:rPr>
        <w:t>a)</w:t>
        <w:tab/>
      </w:r>
      <w:r>
        <w:rPr>
          <w:rFonts w:cs="Trebuchet MS" w:ascii="Trebuchet MS" w:hAnsi="Trebuchet MS"/>
          <w:color w:val="00000A"/>
          <w:sz w:val="22"/>
          <w:szCs w:val="22"/>
        </w:rPr>
        <w:t>parcheggi, strade, marciapiedi, piste ciclopedonali;</w:t>
      </w:r>
    </w:p>
    <w:p>
      <w:pPr>
        <w:pStyle w:val="Standard"/>
        <w:ind w:left="850" w:hanging="283"/>
        <w:jc w:val="both"/>
        <w:rPr>
          <w:color w:val="00000A"/>
        </w:rPr>
      </w:pPr>
      <w:r>
        <w:rPr>
          <w:rFonts w:eastAsia="Trebuchet MS" w:cs="Trebuchet MS" w:ascii="Trebuchet MS" w:hAnsi="Trebuchet MS"/>
          <w:color w:val="00000A"/>
          <w:sz w:val="22"/>
          <w:szCs w:val="22"/>
        </w:rPr>
        <w:t>b)</w:t>
        <w:tab/>
      </w:r>
      <w:r>
        <w:rPr>
          <w:rFonts w:cs="Trebuchet MS" w:ascii="Trebuchet MS" w:hAnsi="Trebuchet MS"/>
          <w:color w:val="00000A"/>
          <w:sz w:val="22"/>
          <w:szCs w:val="22"/>
        </w:rPr>
        <w:t>gasdotto, acquedotto ed eventuali altre reti tecnologiche;</w:t>
      </w:r>
    </w:p>
    <w:p>
      <w:pPr>
        <w:pStyle w:val="Standard"/>
        <w:ind w:left="850" w:hanging="283"/>
        <w:jc w:val="both"/>
        <w:rPr>
          <w:color w:val="00000A"/>
        </w:rPr>
      </w:pPr>
      <w:r>
        <w:rPr>
          <w:rFonts w:eastAsia="Trebuchet MS" w:cs="Trebuchet MS" w:ascii="Trebuchet MS" w:hAnsi="Trebuchet MS"/>
          <w:color w:val="00000A"/>
          <w:sz w:val="22"/>
          <w:szCs w:val="22"/>
        </w:rPr>
        <w:t>c)</w:t>
        <w:tab/>
      </w:r>
      <w:r>
        <w:rPr>
          <w:rFonts w:cs="Trebuchet MS" w:ascii="Trebuchet MS" w:hAnsi="Trebuchet MS"/>
          <w:color w:val="00000A"/>
          <w:sz w:val="22"/>
          <w:szCs w:val="22"/>
        </w:rPr>
        <w:t>linee elettriche, telefoniche ed eventuali altre reti tecnologiche;</w:t>
      </w:r>
    </w:p>
    <w:p>
      <w:pPr>
        <w:pStyle w:val="Standard"/>
        <w:ind w:left="850" w:hanging="283"/>
        <w:jc w:val="both"/>
        <w:rPr>
          <w:color w:val="00000A"/>
        </w:rPr>
      </w:pPr>
      <w:r>
        <w:rPr>
          <w:rFonts w:eastAsia="Trebuchet MS" w:cs="Trebuchet MS" w:ascii="Trebuchet MS" w:hAnsi="Trebuchet MS"/>
          <w:color w:val="00000A"/>
          <w:sz w:val="22"/>
          <w:szCs w:val="22"/>
        </w:rPr>
        <w:t>d)</w:t>
        <w:tab/>
      </w:r>
      <w:r>
        <w:rPr>
          <w:rFonts w:cs="Trebuchet MS" w:ascii="Trebuchet MS" w:hAnsi="Trebuchet MS"/>
          <w:color w:val="00000A"/>
          <w:sz w:val="22"/>
          <w:szCs w:val="22"/>
        </w:rPr>
        <w:t>fognature;</w:t>
      </w:r>
    </w:p>
    <w:p>
      <w:pPr>
        <w:pStyle w:val="Standard"/>
        <w:ind w:left="850" w:hanging="283"/>
        <w:jc w:val="both"/>
        <w:rPr>
          <w:color w:val="00000A"/>
        </w:rPr>
      </w:pPr>
      <w:r>
        <w:rPr>
          <w:rFonts w:eastAsia="Trebuchet MS" w:cs="Trebuchet MS" w:ascii="Trebuchet MS" w:hAnsi="Trebuchet MS"/>
          <w:color w:val="00000A"/>
          <w:sz w:val="22"/>
          <w:szCs w:val="22"/>
        </w:rPr>
        <w:t>e)</w:t>
        <w:tab/>
      </w:r>
      <w:r>
        <w:rPr>
          <w:rFonts w:cs="Trebuchet MS" w:ascii="Trebuchet MS" w:hAnsi="Trebuchet MS"/>
          <w:color w:val="00000A"/>
          <w:sz w:val="22"/>
          <w:szCs w:val="22"/>
        </w:rPr>
        <w:t>illuminazione pubblica;</w:t>
      </w:r>
    </w:p>
    <w:p>
      <w:pPr>
        <w:pStyle w:val="Standard"/>
        <w:ind w:left="850" w:hanging="283"/>
        <w:jc w:val="both"/>
        <w:rPr>
          <w:color w:val="00000A"/>
        </w:rPr>
      </w:pPr>
      <w:r>
        <w:rPr>
          <w:rFonts w:eastAsia="Trebuchet MS" w:cs="Trebuchet MS" w:ascii="Trebuchet MS" w:hAnsi="Trebuchet MS"/>
          <w:color w:val="00000A"/>
          <w:sz w:val="22"/>
          <w:szCs w:val="22"/>
        </w:rPr>
        <w:t>f)</w:t>
        <w:tab/>
      </w:r>
      <w:r>
        <w:rPr>
          <w:rFonts w:cs="Trebuchet MS" w:ascii="Trebuchet MS" w:hAnsi="Trebuchet MS"/>
          <w:color w:val="00000A"/>
          <w:sz w:val="22"/>
          <w:szCs w:val="22"/>
        </w:rPr>
        <w:t>attrezzature a verde;</w:t>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g)</w:t>
        <w:tab/>
        <w:t>altro (teleriscaldamento, cablaggio, vasche per il recupero acque piovane e loro manutenzione, ecc...).</w:t>
      </w:r>
    </w:p>
    <w:p>
      <w:pPr>
        <w:pStyle w:val="Standard"/>
        <w:ind w:left="850" w:hanging="283"/>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t>E’ riconosciuta inoltre al Comune di Reggio Emilia, nell’ambito della presente convenzione, la facoltà di prescrivere l’allacciamento alle infrastrutture per l’urbanizzazione degli insediamenti e alle reti da realizzare anche a terzi e finitimi, previa comunicazione al soggetto attuatore e compatibilmente con i dimensionamenti effettuati e definiti in sede di PRU. Ciò per esigenze di esercizio e funzionalità dei servizi complessivamente previsti, potendosi procedere a tali allacciamenti anche prima che le opere siano prese in carico dal Comune o dalle competenti aziende speciali. In tale ipotesi detti allacciamenti dovranno essere realizzati con adeguate garanzie a salvaguardia della funzionalità generale degli impianti e in accordo con la direzione dei lavori.</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567" w:hanging="567"/>
        <w:jc w:val="both"/>
        <w:rPr>
          <w:color w:val="00000A"/>
        </w:rPr>
      </w:pPr>
      <w:r>
        <w:rPr>
          <w:rFonts w:cs="Trebuchet MS" w:ascii="Trebuchet MS" w:hAnsi="Trebuchet MS"/>
          <w:b/>
          <w:bCs/>
          <w:color w:val="00000A"/>
          <w:sz w:val="22"/>
          <w:szCs w:val="22"/>
        </w:rPr>
        <w:t>3.</w:t>
      </w:r>
      <w:r>
        <w:rPr>
          <w:rFonts w:cs="Trebuchet MS" w:ascii="Trebuchet MS" w:hAnsi="Trebuchet MS"/>
          <w:color w:val="00000A"/>
          <w:sz w:val="22"/>
          <w:szCs w:val="22"/>
        </w:rPr>
        <w:tab/>
        <w:t xml:space="preserve">I progetti esecutivi previsti nel “PRU_IP-1a”, richiamato all’art. 1 comma 5, dovranno essere redatti in conformità </w:t>
      </w:r>
      <w:r>
        <w:rPr>
          <w:rFonts w:cs="Trebuchet MS" w:ascii="Trebuchet MS" w:hAnsi="Trebuchet MS"/>
          <w:bCs/>
          <w:color w:val="00000A"/>
          <w:sz w:val="22"/>
          <w:szCs w:val="22"/>
        </w:rPr>
        <w:t>al “Codice dei contratti pubblici relativi a lavori, servizi e forniture” DLgs 163/2006 e s.m.i. e al DPR 207/2010, mentre i progetti esecutivi previsti nel “PRU_IP-1a.bis”, in ampliamento al “PRU_IP-1a”, e nel “PRU_IP-1b” dovranno essere redatti in conformità al nuovo “Codice dei contratti pubblici” DLgs 50/2016 così come coordinato con il DLgs 56/2017.</w:t>
      </w:r>
    </w:p>
    <w:p>
      <w:pPr>
        <w:pStyle w:val="Standard"/>
        <w:widowControl w:val="false"/>
        <w:ind w:left="567" w:hanging="0"/>
        <w:jc w:val="both"/>
        <w:rPr>
          <w:rFonts w:ascii="Trebuchet MS" w:hAnsi="Trebuchet MS" w:cs="Trebuchet MS"/>
          <w:bCs/>
          <w:color w:val="00000A"/>
          <w:sz w:val="22"/>
          <w:szCs w:val="22"/>
        </w:rPr>
      </w:pPr>
      <w:r>
        <w:rPr>
          <w:rFonts w:cs="Trebuchet MS" w:ascii="Trebuchet MS" w:hAnsi="Trebuchet MS"/>
          <w:bCs/>
          <w:color w:val="00000A"/>
          <w:sz w:val="22"/>
          <w:szCs w:val="22"/>
        </w:rPr>
        <w:t>I progetti esecutivi previsti dovranno essere redatti in conformità alle indicazioni e/o prescrizioni degli uffici tecnici comunali, anche in relazione al contesto generale dell’intervento e dei programmi dell’Amministrazione Comunale.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4.</w:t>
      </w:r>
      <w:r>
        <w:rPr>
          <w:rFonts w:cs="Trebuchet MS" w:ascii="Trebuchet MS" w:hAnsi="Trebuchet MS"/>
          <w:color w:val="00000A"/>
          <w:sz w:val="22"/>
          <w:szCs w:val="22"/>
        </w:rPr>
        <w:tab/>
        <w:t>I prezzi unitari da utilizzare per la redazione del Computo Metrico Estimativo dovranno essere desunti dal Prezzario della Camera di Commercio di Reggio Emilia.</w:t>
      </w:r>
    </w:p>
    <w:p>
      <w:pPr>
        <w:pStyle w:val="Standard"/>
        <w:ind w:left="567" w:hanging="0"/>
        <w:jc w:val="both"/>
        <w:rPr>
          <w:color w:val="00000A"/>
        </w:rPr>
      </w:pPr>
      <w:r>
        <w:rPr>
          <w:rFonts w:cs="Trebuchet MS" w:ascii="Trebuchet MS" w:hAnsi="Trebuchet MS"/>
          <w:color w:val="00000A"/>
          <w:sz w:val="22"/>
          <w:szCs w:val="22"/>
        </w:rPr>
        <w:t>Per i prezzi mancanti dovrà essere allegata l’analisi del prezzo, facendo riferimento, per analogia, ai prezzi contenuti nel suddetto listino. Il soggetto attuatore dovrà provvedere a consegnare, su supporto informatico, secondo le modalità che l’Amministrazione Comunale indicherà, il progetto esecutivo delle infrastrutture e, una volta terminato l’intervento, dovrà produrre all’Amministrazione Comunale, quale documentazione da allegare al collaudo finale, il progetto delle opere “come costruite”.</w:t>
      </w:r>
    </w:p>
    <w:p>
      <w:pPr>
        <w:pStyle w:val="Standard"/>
        <w:jc w:val="both"/>
        <w:rPr>
          <w:rFonts w:ascii="Trebuchet MS" w:hAnsi="Trebuchet MS" w:cs="Trebuchet MS"/>
          <w:color w:val="00000A"/>
          <w:sz w:val="22"/>
        </w:rPr>
      </w:pPr>
      <w:r>
        <w:rPr>
          <w:rFonts w:cs="Trebuchet MS" w:ascii="Trebuchet MS" w:hAnsi="Trebuchet MS"/>
          <w:color w:val="00000A"/>
          <w:sz w:val="22"/>
        </w:rPr>
      </w:r>
    </w:p>
    <w:p>
      <w:pPr>
        <w:pStyle w:val="Standard"/>
        <w:jc w:val="both"/>
        <w:rPr>
          <w:rFonts w:ascii="Trebuchet MS" w:hAnsi="Trebuchet MS" w:cs="Trebuchet MS"/>
          <w:color w:val="00000A"/>
          <w:sz w:val="22"/>
        </w:rPr>
      </w:pPr>
      <w:r>
        <w:rPr>
          <w:rFonts w:cs="Trebuchet MS" w:ascii="Trebuchet MS" w:hAnsi="Trebuchet MS"/>
          <w:color w:val="00000A"/>
          <w:sz w:val="22"/>
        </w:rPr>
      </w:r>
    </w:p>
    <w:p>
      <w:pPr>
        <w:pStyle w:val="Standard"/>
        <w:widowControl w:val="false"/>
        <w:tabs>
          <w:tab w:val="left" w:pos="1813" w:leader="none"/>
        </w:tabs>
        <w:ind w:left="1020" w:hanging="1020"/>
        <w:jc w:val="both"/>
        <w:rPr>
          <w:color w:val="00000A"/>
        </w:rPr>
      </w:pPr>
      <w:r>
        <w:rPr>
          <w:rFonts w:cs="Trebuchet MS" w:ascii="Trebuchet MS" w:hAnsi="Trebuchet MS"/>
          <w:b/>
          <w:bCs/>
          <w:color w:val="00000A"/>
          <w:sz w:val="22"/>
          <w:szCs w:val="22"/>
        </w:rPr>
        <w:t>Art. 12</w:t>
        <w:tab/>
        <w:t>-</w:t>
        <w:tab/>
      </w:r>
      <w:r>
        <w:rPr>
          <w:rFonts w:cs="Trebuchet MS" w:ascii="Trebuchet MS" w:hAnsi="Trebuchet MS"/>
          <w:b/>
          <w:bCs/>
          <w:color w:val="00000A"/>
          <w:w w:val="99"/>
          <w:sz w:val="22"/>
          <w:szCs w:val="22"/>
        </w:rPr>
        <w:t>Caratteristiche tecniche delle infrastrutture per l’urbanizzazione degli insediamenti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Le caratteristiche tecniche delle infrastrutture per l’urbanizzazione degli insediamenti dovranno essere conformi a quanto indicato negli elaborati del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nei rispettivi disciplinari tecnici, nonché a quanto stabilito dalle “Prescrizioni per la realizzazione delle opere di per l’urbanizzazione degli insediamenti (U1)” e dal “Capitolato Speciale d’Appalto – Specifiche tecniche prestazionali per l’esecuzione delle opere di Urbanizzazione Primaria (U1)” del Comune di Reggio Emilia.</w:t>
      </w:r>
    </w:p>
    <w:p>
      <w:pPr>
        <w:pStyle w:val="Standard"/>
        <w:widowControl w:val="false"/>
        <w:tabs>
          <w:tab w:val="left" w:pos="1813" w:leader="none"/>
        </w:tabs>
        <w:ind w:left="1020" w:hanging="1020"/>
        <w:jc w:val="both"/>
        <w:rPr>
          <w:color w:val="00000A"/>
        </w:rPr>
      </w:pPr>
      <w:r>
        <w:rPr>
          <w:color w:val="00000A"/>
        </w:rPr>
      </w:r>
    </w:p>
    <w:p>
      <w:pPr>
        <w:pStyle w:val="Standard"/>
        <w:widowControl w:val="false"/>
        <w:tabs>
          <w:tab w:val="left" w:pos="1813" w:leader="none"/>
        </w:tabs>
        <w:ind w:left="1020" w:hanging="1020"/>
        <w:jc w:val="both"/>
        <w:rPr>
          <w:color w:val="00000A"/>
        </w:rPr>
      </w:pPr>
      <w:r>
        <w:rPr>
          <w:color w:val="00000A"/>
        </w:rPr>
      </w:r>
    </w:p>
    <w:p>
      <w:pPr>
        <w:pStyle w:val="Standard"/>
        <w:widowControl w:val="false"/>
        <w:tabs>
          <w:tab w:val="left" w:pos="1813" w:leader="none"/>
        </w:tabs>
        <w:ind w:left="1020" w:hanging="1020"/>
        <w:jc w:val="both"/>
        <w:rPr>
          <w:color w:val="00000A"/>
        </w:rPr>
      </w:pPr>
      <w:r>
        <w:rPr>
          <w:rFonts w:cs="Trebuchet MS" w:ascii="Trebuchet MS" w:hAnsi="Trebuchet MS"/>
          <w:b/>
          <w:bCs/>
          <w:color w:val="00000A"/>
          <w:sz w:val="22"/>
          <w:szCs w:val="22"/>
        </w:rPr>
        <w:t>Art. 13</w:t>
        <w:tab/>
        <w:t>-</w:t>
        <w:tab/>
        <w:t>Modalità di esecuzione delle infrastrutture per l’urbanizzazione degli insediamenti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Il Comune di Reggio Emilia e il soggetto attuatore danno atto e dichiarano che tutti gli interventi previsti nel </w:t>
      </w:r>
      <w:r>
        <w:rPr>
          <w:rStyle w:val="Enfasiforte"/>
          <w:rFonts w:eastAsia="SimSun, 'Arial Unicode MS'" w:cs="Trebuchet MS" w:ascii="Trebuchet MS" w:hAnsi="Trebuchet MS"/>
          <w:b w:val="false"/>
          <w:bCs w:val="false"/>
          <w:color w:val="00000A"/>
          <w:sz w:val="22"/>
          <w:szCs w:val="22"/>
          <w:lang w:bidi="hi-IN"/>
        </w:rPr>
        <w:t xml:space="preserve">“PRU_IP - Bando Periferie Reggiane/SantaCroce” </w:t>
      </w:r>
      <w:r>
        <w:rPr>
          <w:rFonts w:cs="Trebuchet MS" w:ascii="Trebuchet MS" w:hAnsi="Trebuchet MS"/>
          <w:color w:val="00000A"/>
          <w:sz w:val="22"/>
          <w:szCs w:val="22"/>
        </w:rPr>
        <w:t>dovranno essere realizzati nel rispetto delle “Norme in materia ambientale” di cui al DLgs 152/2006 e s.m.i.; per quanto attiene la matrice aria gli interventi dovranno in particolare prevedere, quando necessario, opportune opere di bonifica dell’amianto, in conformità alla normativa vigente e in coerenza con gli indirizzi delle autorità competenti in materia ambientale.</w:t>
      </w:r>
    </w:p>
    <w:p>
      <w:pPr>
        <w:pStyle w:val="Standard"/>
        <w:ind w:left="567" w:hanging="0"/>
        <w:jc w:val="both"/>
        <w:rPr>
          <w:color w:val="00000A"/>
        </w:rPr>
      </w:pPr>
      <w:r>
        <w:rPr>
          <w:rFonts w:cs="Trebuchet MS" w:ascii="Trebuchet MS" w:hAnsi="Trebuchet MS"/>
          <w:color w:val="00000A"/>
          <w:sz w:val="22"/>
          <w:szCs w:val="22"/>
        </w:rPr>
        <w:t>In riferimento al solo sub-comparto “PRU_IP-1a.bis” le Parti danno inoltre atto e dichiarano che tutti gli interventi dovranno essere preceduti dall’attuazione, anche progressiva e parziale, di quanto previsto dal Piano di caratterizzazione e dai successivi progetti operativi di bonifica, di volta in volta elaborati con riferimento ai vari lotti di intervento ed approvati dall’autorità competente in materia ambientale.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t>Data attuazione, anche progressiva e parziale, alle previsioni del Piano di caratterizzazione e del Progetto di bonifica, anticipatamente o contestualmente alla realizzazione degli interventi in progetto saranno realizzate, con adeguate caratteristiche di funzionalità, le seguenti infrastrutture per l’urbanizzazione degli insediamenti: strade, fognature, gasdotti, elettrodotti, acquedotti, linee telefoniche, ecc.</w:t>
      </w:r>
    </w:p>
    <w:p>
      <w:pPr>
        <w:pStyle w:val="Standard"/>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E’ possibile realizzare le infrastrutture per l’urbanizzazione degli insediamenti anche per stralci funzionali, a condizione che lo sviluppo e la sequenzialità dei lavori siano individuati nel progetto.</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3.</w:t>
      </w:r>
      <w:r>
        <w:rPr>
          <w:rFonts w:cs="Trebuchet MS" w:ascii="Trebuchet MS" w:hAnsi="Trebuchet MS"/>
          <w:color w:val="00000A"/>
          <w:sz w:val="22"/>
          <w:szCs w:val="22"/>
        </w:rPr>
        <w:tab/>
        <w:t>Nel titolo abilitante alla realizzazione delle infrastrutture per l’urbanizzazione degli insediamenti, potranno essere considerati tempi più lunghi per l’ultimazione dei relativi lavori, rispetto ai previsti tre anni, tempi che dovranno comunque essere concordati con i competenti Uffici Comunali.</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4.</w:t>
      </w:r>
      <w:r>
        <w:rPr>
          <w:rFonts w:cs="Trebuchet MS" w:ascii="Trebuchet MS" w:hAnsi="Trebuchet MS"/>
          <w:color w:val="00000A"/>
          <w:sz w:val="22"/>
          <w:szCs w:val="22"/>
        </w:rPr>
        <w:tab/>
        <w:t>All’Amministrazione Comunale è riconosciuta la facoltà di richiedere, per esigenze tecniche più generali, quale ad esempio la necessità di esercizio dei servizi a rete, l’anticipata realizzazione di una o più tra le infrastrutture per l’urbanizzazione degli insediamenti; tale eventualità dovrà essere individuata nel progetto delle infrastrutture per l’urbanizzazione degli insediamenti e nel relativo titolo abilitativo.</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14</w:t>
        <w:tab/>
        <w:t>-</w:t>
        <w:tab/>
        <w:t>Realizzazione e collaudo delle infrastrutture per l’urbanizzazione degli insediamenti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In sede di presentazione del progetto delle infrastrutture per l’urbanizzazione degli insediamenti, sarà nominato un “Responsabile dell’Intervento per l’esecuzione delle opere di urbanizzazione”, scelto fra i tecnici dell’Amministrazione Comunale, a cui competeranno le attività tecnico-amministrative relative alla verifica e all’approvazione del progetto, oltre a quelle connesse al procedimento interno, fino ad avvenuta presa in consegna delle opere stesse. Il “Responsabile dell’intervento” terrà i rapporti con i professionisti incaricati dal soggetto attuatore per i servizi tecnici di progettazione e direzione lavori, fornendo le informazioni e le prescrizioni che si rendessero necessarie durante l’iter realizzativo delle opere.</w:t>
      </w:r>
    </w:p>
    <w:p>
      <w:pPr>
        <w:pStyle w:val="Standard"/>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La realizzazione delle infrastrutture per l’urbanizzazione degli insediamenti sarà sottoposta alla vigilanza e al collaudo tecnico-funzionale, anche in corso d’opera, da parte di un “Collaudatore”, individuato all’interno dei competenti Uffici Comunali.</w:t>
      </w:r>
    </w:p>
    <w:p>
      <w:pPr>
        <w:pStyle w:val="Standard"/>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La richiesta per il rilascio del necessario titolo abilitante alla realizzazione delle infrastrutture per l’urbanizzazione degli insediamenti, dovrà contenere anche il nominativo del “Responsabile Coordinatore alla Sicurezza”, nominato a cura e spese del soggetto attuatore.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t>Il soggetto attuatore e i suoi successori, sono tenuti a comunicare al Responsabile dell’Intervento e al Collaudatore di cui sopra, la data di inizio, nonché di eventuale sospensione e ripresa dell’esecuzione dei lavori relativi alle infrastrutture per l’urbanizzazione, con l’obbligo, da parte del Direttore Lavori, di fornire, al Responsabile dell’Intervento e al Collaudatore, ogni dato e informazione utile o rilevante al fine di consentire la sorveglianza dei lavori e il corretto sviluppo del procedimento.</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La vigilanza in corso dell’opera compete al Collaudatore, che può disporre l’eventuale sospensione dei lavori in caso di difformità o varianti rispetto al progetto esecutivo non autorizzate dall’Amministrazione Comunale.</w:t>
      </w:r>
    </w:p>
    <w:p>
      <w:pPr>
        <w:pStyle w:val="Standard"/>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ind w:left="567" w:hanging="567"/>
        <w:jc w:val="both"/>
        <w:rPr>
          <w:color w:val="00000A"/>
        </w:rPr>
      </w:pPr>
      <w:r>
        <w:rPr>
          <w:rFonts w:cs="Trebuchet MS" w:ascii="Trebuchet MS" w:hAnsi="Trebuchet MS"/>
          <w:b/>
          <w:bCs/>
          <w:color w:val="00000A"/>
          <w:sz w:val="22"/>
          <w:szCs w:val="22"/>
        </w:rPr>
        <w:t>3.</w:t>
      </w:r>
      <w:r>
        <w:rPr>
          <w:rFonts w:cs="Trebuchet MS" w:ascii="Trebuchet MS" w:hAnsi="Trebuchet MS"/>
          <w:color w:val="00000A"/>
          <w:sz w:val="22"/>
          <w:szCs w:val="22"/>
        </w:rPr>
        <w:tab/>
        <w:t>Previo parere favorevole del Responsabile dell’Intervento e del Collaudatore, al fine del rilascio dell’agibilità di parte dei fabbricati, potrà essere rilasciato il collaudo parziale, da parte del Collaudatore stesso, finalizzato alla verifica della funzionalità delle infrastrutture di pertinenza dei fabbricati di cui viene richiesta l’agibilità.</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In caso di realizzazione di opere in cemento armato la relativa certificazione di collaudo verrà prodotta dai concessionari.</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Il collaudo definitivo delle infrastrutture per l’urbanizzazione degli insediamenti, dovrà essere rilasciato tempestivamente e comunque entro 6 mesi dalla comunicazione dell’avvenuta ultimazione delle infrastrutture medesime, sempreché le opere realizzate non vengano contestate.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La presa in carico di dette opere da parte dell’Amministrazione Comunale, ad eccezione di quelle relative alle “Aree per il verde pubblico e attrezzature e spazi collettivi” (SVP) di cui all’art. 16, avverrà entro 3 mesi dal collaudo definitivo e comunque non oltre 1 anno dalla comunicazione di ultimazione dei lavori, qualora questi non siano stati contestati.</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4.</w:t>
      </w:r>
      <w:r>
        <w:rPr>
          <w:rFonts w:cs="Trebuchet MS" w:ascii="Trebuchet MS" w:hAnsi="Trebuchet MS"/>
          <w:color w:val="00000A"/>
          <w:sz w:val="22"/>
          <w:szCs w:val="22"/>
        </w:rPr>
        <w:tab/>
        <w:t>La manutenzione delle infrastrutture per l’urbanizzazione degli insediamenti (e delle aree per verde pubblico e attrezzature e spazi collettivi) resterà a carico del soggetto attuatore fino alla presa in carico delle medesime da parte dell’Amministrazione Comunale.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Il soggetto attuatore è tenuto, in favore del Comune di Reggio Emilia, per le opere e i manufatti di cui sopra, alla garanzia e agli obblighi disciplinati dagli artt. n. 1667, 1668, 1669 del Codice Civile, entro i limiti ivi contenuti.</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15</w:t>
        <w:tab/>
        <w:t>-</w:t>
        <w:tab/>
        <w:t>Contributo per costi sostenuti dall’Amministrazione Comunale</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Il soggetto attuatore, contestualmente al ritiro del titolo abilitativo relativo alla realizzazione delle infrastrutture per l’urbanizzazione degli insediamenti, non sarà tenuto a corrispondere all’Amministrazione Comunale la somma pari al 3% dell’importo delle opere, ordinariamente versata a titolo di contributo per i costi e compensi sostenuti dall’Amministrazione Comunale e connessi alle attività e agli incarichi del “Responsabile dell’Intervento” e del “Collaudatore”, oltre a quelli relativi all’istruttoria e al procedimento interno. L’esenzione da detto versamento deriva dalla natura pubblica dell’intervento, eseguito per mezzo della STU dal Comune di Reggio Emilia e, dunque, dal fatto che sia il ruolo di Responsabile dell’Intervento, sia il Collaudatore, sono integralmente a carico della STU quale Soggetto Attuatore.</w:t>
      </w:r>
    </w:p>
    <w:p>
      <w:pPr>
        <w:pStyle w:val="Standard"/>
        <w:ind w:left="567" w:hanging="0"/>
        <w:jc w:val="both"/>
        <w:rPr>
          <w:color w:val="00000A"/>
        </w:rPr>
      </w:pPr>
      <w:r>
        <w:rPr>
          <w:rFonts w:cs="Trebuchet MS" w:ascii="Trebuchet MS" w:hAnsi="Trebuchet MS"/>
          <w:color w:val="00000A"/>
          <w:sz w:val="22"/>
          <w:szCs w:val="22"/>
        </w:rPr>
        <w:t>Qualora si rendessero necessarie varianti al progetto delle opere suddette, comportanti un aumento del costo delle stesse, il soggetto attuatore dovrà provvedere al versamento dell’eventuale conguaglio del contributo di cui trattasi, prima del rilascio del certificato di collaudo definitivo di cui al successivo art. 22.</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16</w:t>
        <w:tab/>
        <w:t>-</w:t>
        <w:tab/>
        <w:t>Realizzazione delle “Aree per il verde pubblico e attrezzature e spazi collettivi (SVP) previste nel PRU</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Il soggetto attuatore, anche per i suoi aventi causa, si impegna alla realizzazione delle “Aree per il verde pubblico e attrezzature e spazi collettivi” (SVP) sull’area di cessione, come da progetto definitivo ed esecutivo.</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Il soggetto attuatore dovrà comunicare al “Responsabile dell’Intervento” e al “Collaudatore”, di cui all’art. 14, la data di inizio lavori, almeno dieci giorni prima, in modo che gli stessi possano verificare la corretta esecuzione delle opere.</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t>La presa in carico delle opere di cui al precedente comma 1 da parte dell’Amministrazione Comunale avverrà entro 3 anni dall’avvenuta comunicazione di fine lavori e comunque non prima dell’accertata funzionalità delle opere relative alle “Aree per il verde pubblico e attrezzature e spazi collettivi” (SVP) previste nel titolo abilitante alla realizzazione delle opere medesime.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Tale compito spetterà al “Collaudatore” che, nel verbale di collaudo finale, dovrà attestare, fra l’altro, la verifica di attecchimento delle piante e siepi, nonché il buono stato dell’area.</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3.</w:t>
      </w:r>
      <w:r>
        <w:rPr>
          <w:rFonts w:cs="Trebuchet MS" w:ascii="Trebuchet MS" w:hAnsi="Trebuchet MS"/>
          <w:color w:val="00000A"/>
          <w:sz w:val="22"/>
          <w:szCs w:val="22"/>
        </w:rPr>
        <w:tab/>
        <w:t>La manutenzione delle opere di cui al precedente comma 1 resterà a carico del soggetto attuatore fino alla presa in carico delle stesse da parte dell’Amministrazione Comunale.</w:t>
      </w:r>
    </w:p>
    <w:p>
      <w:pPr>
        <w:pStyle w:val="Standard"/>
        <w:ind w:left="567" w:hanging="0"/>
        <w:jc w:val="both"/>
        <w:rPr>
          <w:color w:val="00000A"/>
        </w:rPr>
      </w:pPr>
      <w:r>
        <w:rPr>
          <w:rFonts w:cs="Trebuchet MS" w:ascii="Trebuchet MS" w:hAnsi="Trebuchet MS"/>
          <w:color w:val="00000A"/>
          <w:sz w:val="22"/>
          <w:szCs w:val="22"/>
        </w:rPr>
        <w:t>Al fine di evitare che durante i lavori di costruzione dei fabbricati le “Aree per il verde pubblico e attrezzature e spazi collettivi” (SVP) possano essere danneggiate o utilizzate per usi impropri, il “Responsabile dell’Intervento” potrà chiedere al soggetto attuatore di recintare a sue spese l’area stessa. Resta in ogni caso inteso che il soggetto attuatore rimane i unico responsabile della sorveglianza dell’area, che dovrà essere mantenuta in stato di decoro.</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4.</w:t>
      </w:r>
      <w:r>
        <w:rPr>
          <w:rFonts w:cs="Trebuchet MS" w:ascii="Trebuchet MS" w:hAnsi="Trebuchet MS"/>
          <w:color w:val="00000A"/>
          <w:sz w:val="22"/>
          <w:szCs w:val="22"/>
        </w:rPr>
        <w:tab/>
        <w:t>Prima del collaudo e della presa in carico delle opere relative alle “Aree per il verde pubblico e attrezzature e spazi collettivi” (SVP) dovrà essere consegnato da parte del soggetto attuatore all’Amministrazione Comunale il progetto dell’impianto “come costruito”, completo dei seguenti documenti operativi:</w:t>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a)</w:t>
        <w:tab/>
        <w:t>manuale d’uso</w:t>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b)</w:t>
        <w:tab/>
        <w:t>manuale di manutenzione</w:t>
      </w:r>
    </w:p>
    <w:p>
      <w:pPr>
        <w:pStyle w:val="Standard"/>
        <w:ind w:left="850" w:hanging="283"/>
        <w:jc w:val="both"/>
        <w:rPr>
          <w:rFonts w:ascii="Trebuchet MS" w:hAnsi="Trebuchet MS" w:cs="Trebuchet MS"/>
          <w:color w:val="00000A"/>
          <w:sz w:val="22"/>
          <w:szCs w:val="22"/>
        </w:rPr>
      </w:pPr>
      <w:r>
        <w:rPr>
          <w:rFonts w:cs="Trebuchet MS" w:ascii="Trebuchet MS" w:hAnsi="Trebuchet MS"/>
          <w:color w:val="00000A"/>
          <w:sz w:val="22"/>
          <w:szCs w:val="22"/>
        </w:rPr>
        <w:t>c)</w:t>
        <w:tab/>
        <w:t>programma di manutenzione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La stessa documentazione dovrà essere consegnata anche per le opere di arredo urbano realizzate.</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1020" w:hanging="1020"/>
        <w:jc w:val="both"/>
        <w:rPr>
          <w:color w:val="00000A"/>
        </w:rPr>
      </w:pPr>
      <w:r>
        <w:rPr>
          <w:rFonts w:cs="Trebuchet MS" w:ascii="Trebuchet MS" w:hAnsi="Trebuchet MS"/>
          <w:b/>
          <w:bCs/>
          <w:color w:val="00000A"/>
          <w:sz w:val="22"/>
          <w:szCs w:val="22"/>
        </w:rPr>
        <w:t>Art. 17</w:t>
        <w:tab/>
        <w:t>-</w:t>
        <w:tab/>
        <w:t>Esonero dal contributo di costruzione.</w:t>
      </w:r>
    </w:p>
    <w:p>
      <w:pPr>
        <w:pStyle w:val="Standard"/>
        <w:widowControl w:val="false"/>
        <w:ind w:left="567" w:hanging="567"/>
        <w:jc w:val="both"/>
        <w:rPr>
          <w:color w:val="00000A"/>
        </w:rPr>
      </w:pPr>
      <w:r>
        <w:rPr>
          <w:rFonts w:cs="Trebuchet MS" w:ascii="Trebuchet MS" w:hAnsi="Trebuchet MS"/>
          <w:b/>
          <w:bCs/>
          <w:color w:val="00000A"/>
          <w:sz w:val="22"/>
          <w:szCs w:val="22"/>
        </w:rPr>
        <w:t>1.</w:t>
        <w:tab/>
      </w:r>
      <w:r>
        <w:rPr>
          <w:rFonts w:cs="Trebuchet MS" w:ascii="Trebuchet MS" w:hAnsi="Trebuchet MS"/>
          <w:bCs/>
          <w:color w:val="00000A"/>
          <w:sz w:val="22"/>
          <w:szCs w:val="22"/>
        </w:rPr>
        <w:t>L’intervento disciplinato dalla presente Convenzione urbanistica, in quanto programma di riqualificazione urbana di rilevante interesse pubblico attuato da società di trasformazione urbana costituita dal Comune di Reggio Emilia ai sensi dell’articolo 120 TUEL, rientra nella fattispecie di esonero dal contributo di costruzione di cui all’articolo 32 comma 1 lettera h) della legge regionale 30 luglio 2013 n. 15 (“</w:t>
      </w:r>
      <w:r>
        <w:rPr>
          <w:rFonts w:cs="Trebuchet MS" w:ascii="Trebuchet MS" w:hAnsi="Trebuchet MS"/>
          <w:bCs/>
          <w:i/>
          <w:color w:val="00000A"/>
          <w:sz w:val="22"/>
          <w:szCs w:val="22"/>
        </w:rPr>
        <w:t>gli impianti, le attrezzature, le opere pubbliche o di interesse generale realizzate dagli enti istituzionalmente competenti</w:t>
      </w:r>
      <w:r>
        <w:rPr>
          <w:rFonts w:cs="Trebuchet MS" w:ascii="Trebuchet MS" w:hAnsi="Trebuchet MS"/>
          <w:bCs/>
          <w:color w:val="00000A"/>
          <w:sz w:val="22"/>
          <w:szCs w:val="22"/>
        </w:rPr>
        <w:t>”).</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1020" w:hanging="1020"/>
        <w:jc w:val="both"/>
        <w:rPr>
          <w:color w:val="00000A"/>
        </w:rPr>
      </w:pPr>
      <w:r>
        <w:rPr>
          <w:rFonts w:cs="Trebuchet MS" w:ascii="Trebuchet MS" w:hAnsi="Trebuchet MS"/>
          <w:b/>
          <w:bCs/>
          <w:color w:val="00000A"/>
          <w:sz w:val="22"/>
          <w:szCs w:val="22"/>
        </w:rPr>
        <w:t>Art. 18</w:t>
        <w:tab/>
        <w:t>-</w:t>
        <w:tab/>
        <w:t xml:space="preserve">Garanzie </w:t>
      </w:r>
    </w:p>
    <w:p>
      <w:pPr>
        <w:pStyle w:val="Standard"/>
        <w:widowControl w:val="false"/>
        <w:ind w:left="567" w:hanging="567"/>
        <w:jc w:val="both"/>
        <w:rPr>
          <w:color w:val="00000A"/>
        </w:rPr>
      </w:pPr>
      <w:r>
        <w:rPr>
          <w:rFonts w:cs="Trebuchet MS" w:ascii="Trebuchet MS" w:hAnsi="Trebuchet MS"/>
          <w:b/>
          <w:bCs/>
          <w:color w:val="00000A"/>
          <w:sz w:val="22"/>
          <w:szCs w:val="22"/>
        </w:rPr>
        <w:t>1.</w:t>
        <w:tab/>
      </w:r>
      <w:r>
        <w:rPr>
          <w:rFonts w:cs="Trebuchet MS" w:ascii="Trebuchet MS" w:hAnsi="Trebuchet MS"/>
          <w:bCs/>
          <w:color w:val="00000A"/>
          <w:sz w:val="22"/>
          <w:szCs w:val="22"/>
        </w:rPr>
        <w:t>Le garanzie per l’adempimento degli obblighi inerenti l’attuazione del comparto sono definite dal “</w:t>
      </w:r>
      <w:r>
        <w:rPr>
          <w:rStyle w:val="Enfasiforte"/>
          <w:rFonts w:eastAsia="SimSun, 'Arial Unicode MS'" w:cs="Trebuchet MS" w:ascii="Trebuchet MS" w:hAnsi="Trebuchet MS"/>
          <w:b w:val="false"/>
          <w:bCs w:val="false"/>
          <w:i/>
          <w:color w:val="00000A"/>
          <w:sz w:val="22"/>
          <w:szCs w:val="22"/>
          <w:lang w:bidi="hi-IN"/>
        </w:rPr>
        <w:t>Terzo Addendum</w:t>
      </w:r>
      <w:r>
        <w:rPr>
          <w:rFonts w:cs="Trebuchet MS" w:ascii="Trebuchet MS" w:hAnsi="Trebuchet MS"/>
          <w:i/>
          <w:color w:val="00000A"/>
          <w:sz w:val="22"/>
          <w:szCs w:val="22"/>
        </w:rPr>
        <w:t xml:space="preserve"> alla convenzione ai sensi dell’articolo 120 del d.lgs.18 agosto 2000 n. 267 e dell’articolo 6 della legge regionale 31 luglio 1998 n. 19 stipulata in data 1 giugno 2016 tra il Comune di Reggio Emilia e la società per azioni “Conoscenza, Innovazione, Creatività, Memoria. Società per la Trasformazione Urbana in Reggio Emilia</w:t>
      </w:r>
      <w:r>
        <w:rPr>
          <w:rFonts w:cs="Trebuchet MS" w:ascii="Trebuchet MS" w:hAnsi="Trebuchet MS"/>
          <w:color w:val="00000A"/>
          <w:sz w:val="22"/>
          <w:szCs w:val="22"/>
        </w:rPr>
        <w:t>”, stipulata dal Comune di Reggio nell’Emilia e STU Reggiane s.p.a in data....</w:t>
      </w:r>
      <w:r>
        <w:rPr>
          <w:rFonts w:cs="Trebuchet MS" w:ascii="Trebuchet MS" w:hAnsi="Trebuchet MS"/>
          <w:color w:val="00000A"/>
          <w:sz w:val="22"/>
        </w:rPr>
        <w:tab/>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ind w:left="1020" w:hanging="1020"/>
        <w:jc w:val="both"/>
        <w:rPr>
          <w:color w:val="00000A"/>
        </w:rPr>
      </w:pPr>
      <w:r>
        <w:rPr>
          <w:rFonts w:cs="Trebuchet MS" w:ascii="Trebuchet MS" w:hAnsi="Trebuchet MS"/>
          <w:b/>
          <w:bCs/>
          <w:color w:val="00000A"/>
          <w:sz w:val="22"/>
          <w:szCs w:val="22"/>
        </w:rPr>
        <w:t>Art. 19</w:t>
        <w:tab/>
        <w:t>-</w:t>
        <w:tab/>
        <w:t>Elementi progettuali di massima dell’intervento e modifiche al PRU</w:t>
      </w:r>
    </w:p>
    <w:p>
      <w:pPr>
        <w:pStyle w:val="Standard"/>
        <w:widowControl w:val="false"/>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L’esecuzione delle costruzioni edilizie avverrà in base alla normativa del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xml:space="preserve"> ed alla vigente normativa edilizia.</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Ai sensi delle Norme di Attuazione del PRU, che si intendono qui richiamate, modifiche che non incidano in maniera sostanziale sul planivolumetrico, nel rispetto degli indici urbanistici, fondiari, edilizi e di destinazioni d’uso che li riguardano, saranno possibili senza dover procedere a varianti al PRU.</w:t>
      </w:r>
    </w:p>
    <w:p>
      <w:pPr>
        <w:pStyle w:val="Standard"/>
        <w:ind w:left="567" w:hanging="0"/>
        <w:jc w:val="both"/>
        <w:rPr>
          <w:rFonts w:ascii="Trebuchet MS" w:hAnsi="Trebuchet MS" w:cs="Trebuchet MS"/>
          <w:color w:val="00000A"/>
          <w:sz w:val="10"/>
          <w:szCs w:val="10"/>
        </w:rPr>
      </w:pPr>
      <w:r>
        <w:rPr>
          <w:rFonts w:cs="Trebuchet MS" w:ascii="Trebuchet MS" w:hAnsi="Trebuchet MS"/>
          <w:color w:val="00000A"/>
          <w:sz w:val="10"/>
          <w:szCs w:val="10"/>
        </w:rPr>
      </w:r>
    </w:p>
    <w:p>
      <w:pPr>
        <w:pStyle w:val="Standard"/>
        <w:widowControl w:val="false"/>
        <w:ind w:left="567" w:hanging="0"/>
        <w:jc w:val="both"/>
        <w:rPr>
          <w:color w:val="00000A"/>
        </w:rPr>
      </w:pPr>
      <w:r>
        <w:rPr>
          <w:rFonts w:cs="Trebuchet MS" w:ascii="Trebuchet MS" w:hAnsi="Trebuchet MS"/>
          <w:color w:val="00000A"/>
          <w:sz w:val="22"/>
          <w:szCs w:val="22"/>
        </w:rPr>
        <w:t>Sia nel “PRU_IP-1a.bis” che nel “PRU_IP-1b”, al fine di garantire una migliore f</w:t>
      </w:r>
      <w:r>
        <w:rPr>
          <w:rFonts w:eastAsia="SimSun, 'Arial Unicode MS'" w:cs="Trebuchet MS" w:ascii="Trebuchet MS" w:hAnsi="Trebuchet MS"/>
          <w:color w:val="00000A"/>
          <w:sz w:val="22"/>
          <w:szCs w:val="22"/>
          <w:lang w:bidi="hi-IN"/>
        </w:rPr>
        <w:t>unzionalità dell’intervento sono sempre ammesse, in sede di progetto esecutivo, modifiche alle quantità e alle localizzazioni di opere di urbanizzazione e di aree di cui all’art. 14 delle NdA del PRU, ad esempio proponendo un diverso disegno della viabilità, dei parcheggi pubblici e del verde di ambientazione stradale o distribuendo in maniera diversa le aree per servizi e verde pubblico (SVP) e le superfici edificabili (Se), nonché le aree a verde privato con valenza ecologica (Ve); tali modifiche, qualora non riducano le sensibilmente le quantità previste e/o non determinino sostanziali variazioni del progetto urbanistico, fermo restando il rispetto delle quantità minime richieste e delle quantità massime ammesse dal progetto, non sono considerate varianti al PRU.</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color w:val="00000A"/>
        </w:rPr>
      </w:pPr>
      <w:r>
        <w:rPr>
          <w:rFonts w:cs="Trebuchet MS" w:ascii="Trebuchet MS" w:hAnsi="Trebuchet MS"/>
          <w:b/>
          <w:bCs/>
          <w:color w:val="00000A"/>
          <w:sz w:val="22"/>
          <w:szCs w:val="22"/>
        </w:rPr>
        <w:t>Art. 20</w:t>
        <w:tab/>
        <w:t>-</w:t>
        <w:tab/>
        <w:t>Esecuzione del PRU, rilascio del titolo abilitativo alla</w:t>
      </w:r>
      <w:r>
        <w:rPr>
          <w:rFonts w:eastAsia="Trebuchet MS" w:cs="Trebuchet MS" w:ascii="Trebuchet MS" w:hAnsi="Trebuchet MS"/>
          <w:b/>
          <w:bCs/>
          <w:color w:val="00000A"/>
          <w:sz w:val="22"/>
          <w:szCs w:val="22"/>
        </w:rPr>
        <w:t xml:space="preserve"> </w:t>
      </w:r>
      <w:r>
        <w:rPr>
          <w:rFonts w:cs="Trebuchet MS" w:ascii="Trebuchet MS" w:hAnsi="Trebuchet MS"/>
          <w:b/>
          <w:bCs/>
          <w:color w:val="00000A"/>
          <w:sz w:val="22"/>
          <w:szCs w:val="22"/>
        </w:rPr>
        <w:t>costruzione degli edifici e agibilità dei fabbricati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Il rilascio del titolo abilitativo alla costruzione e/o ristrutturazione degli edifici previsti dal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se dovuto, potrà avvenire solo ad avvenuto rilascio del titolo abilitante alla realizzazione delle relative infrastrutture per l’urbanizzazione degli insediamenti.</w:t>
      </w:r>
    </w:p>
    <w:p>
      <w:pPr>
        <w:pStyle w:val="Standard"/>
        <w:ind w:left="567" w:hanging="0"/>
        <w:jc w:val="both"/>
        <w:rPr>
          <w:color w:val="00000A"/>
        </w:rPr>
      </w:pPr>
      <w:r>
        <w:rPr>
          <w:rFonts w:cs="Trebuchet MS" w:ascii="Trebuchet MS" w:hAnsi="Trebuchet MS"/>
          <w:color w:val="00000A"/>
          <w:sz w:val="22"/>
          <w:szCs w:val="22"/>
        </w:rPr>
        <w:t>Si dà atto che ciascuno degli interventi previsti nel</w:t>
      </w:r>
      <w:r>
        <w:rPr>
          <w:rFonts w:cs="Trebuchet MS" w:ascii="Trebuchet MS" w:hAnsi="Trebuchet MS"/>
          <w:bCs/>
          <w:color w:val="00000A"/>
          <w:sz w:val="22"/>
          <w:szCs w:val="22"/>
        </w:rPr>
        <w:t xml:space="preserve"> </w:t>
      </w:r>
      <w:r>
        <w:rPr>
          <w:rStyle w:val="Enfasiforte"/>
          <w:rFonts w:eastAsia="SimSun, 'Arial Unicode MS'" w:cs="Trebuchet MS" w:ascii="Trebuchet MS" w:hAnsi="Trebuchet MS"/>
          <w:b w:val="false"/>
          <w:bCs w:val="false"/>
          <w:color w:val="00000A"/>
          <w:sz w:val="22"/>
          <w:szCs w:val="22"/>
          <w:lang w:bidi="hi-IN"/>
        </w:rPr>
        <w:t>PRU</w:t>
      </w:r>
      <w:r>
        <w:rPr>
          <w:rFonts w:cs="Trebuchet MS" w:ascii="Trebuchet MS" w:hAnsi="Trebuchet MS"/>
          <w:color w:val="00000A"/>
          <w:sz w:val="22"/>
          <w:szCs w:val="22"/>
        </w:rPr>
        <w:t xml:space="preserve"> è funzionalmente e strutturalmente autonomo rispetto alla totalità dei residui interventi previsti e che pertanto, fermo restando gli obblighi relativi alla realizzazione e alla cessione delle opere di urbanizzazione, una volta approvato il PRU e sottoscritta la presente convenzione attuativa, i vari soggetti attuatori potranno portare ad esecuzione gli interventi di loro pertinenza in assenza di qualsivoglia condizionamento esterno, derivante da elementi di difficoltà o ostacoli medio tempore insorti, che incidano su immobili o aree ricompresi nel PRU e diversi da quelli in proprietà dei vari soggetti attuatori medesimi.</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color w:val="00000A"/>
        </w:rPr>
      </w:pPr>
      <w:r>
        <w:rPr>
          <w:rFonts w:cs="Trebuchet MS" w:ascii="Trebuchet MS" w:hAnsi="Trebuchet MS"/>
          <w:b/>
          <w:bCs/>
          <w:color w:val="00000A"/>
          <w:sz w:val="22"/>
          <w:szCs w:val="22"/>
        </w:rPr>
        <w:t>2.</w:t>
      </w:r>
      <w:r>
        <w:rPr>
          <w:rFonts w:cs="Trebuchet MS" w:ascii="Trebuchet MS" w:hAnsi="Trebuchet MS"/>
          <w:color w:val="00000A"/>
          <w:sz w:val="22"/>
          <w:szCs w:val="22"/>
        </w:rPr>
        <w:tab/>
        <w:t xml:space="preserve">L’agibilità dei fabbricati del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xml:space="preserve"> potrà essere assentita  qualora sia stato rilasciato il certificato di collaudo, o di collaudo parziale, delle opere di urbanizzazione primaria (U1) di pertinenza.</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21</w:t>
        <w:tab/>
        <w:t>-</w:t>
        <w:tab/>
        <w:t>Termini di inizio e ultimazione delle opere e degli edifici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Il soggetto attuatore si impegna a richiedere titolo abilitante /o a presentare il progetto esecutivo per la costruzione delle “Aree per il verde pubblico e attrezzature e spazi collettivi” (SVP) e di parte o tutte le restanti infrastrutture per l’urbanizzazione degli insediamenti, nonché di almeno uno degli edifici, nel termine massimo di un anno dalla stipula della presente convenzione. Il termine finale di realizzazione delle opere e degli impianti di urbanizzazione primaria (U1), con relativa cessione e consegna delle stesse al Comune di Reggio Emilia e agli Enti ed Aziende interessate, nonché di realizzazione degli edifici previsti nel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viene stabilito in anni 10 (dieci), con decorrenza dalla data di pubblicazione sul Bollettino Ufficiale della Regione Emilia Romagna dell’atto di approvazione del PRU, ai sensi dell’art. 34 comma 9 della L.R.20/2000.</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color w:val="00000A"/>
        </w:rPr>
      </w:pPr>
      <w:r>
        <w:rPr>
          <w:rFonts w:cs="Trebuchet MS" w:ascii="Trebuchet MS" w:hAnsi="Trebuchet MS"/>
          <w:b/>
          <w:bCs/>
          <w:color w:val="00000A"/>
          <w:sz w:val="22"/>
          <w:szCs w:val="22"/>
        </w:rPr>
        <w:t>Art. 22</w:t>
        <w:tab/>
        <w:t>-</w:t>
        <w:tab/>
        <w:t>Rapporti tra il soggetto attuatore ed i suoi successori e/o aventi causa</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 xml:space="preserve">Nel caso di alienazione delle aree facenti parte del </w:t>
      </w:r>
      <w:r>
        <w:rPr>
          <w:rStyle w:val="Enfasiforte"/>
          <w:rFonts w:eastAsia="SimSun, 'Arial Unicode MS'" w:cs="Trebuchet MS" w:ascii="Trebuchet MS" w:hAnsi="Trebuchet MS"/>
          <w:b w:val="false"/>
          <w:bCs w:val="false"/>
          <w:color w:val="00000A"/>
          <w:sz w:val="22"/>
          <w:szCs w:val="22"/>
          <w:lang w:bidi="hi-IN"/>
        </w:rPr>
        <w:t>“PRU_IP - Bando Periferie Reggiane/SantaCroce”</w:t>
      </w:r>
      <w:r>
        <w:rPr>
          <w:rFonts w:cs="Trebuchet MS" w:ascii="Trebuchet MS" w:hAnsi="Trebuchet MS"/>
          <w:color w:val="00000A"/>
          <w:sz w:val="22"/>
          <w:szCs w:val="22"/>
        </w:rPr>
        <w:t>, il soggetto attuatore potrà trasmettere agli acquirenti dei singoli lotti gli oneri ed obblighi di cui alla presente convenzione.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In questo caso il soggetto attuatore che stipula la presente convenzione resta solidalmente responsabile nei confronti del Comune di Reggio Emilia di tutti gli obblighi derivanti dalla presente convenzione.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Qualora il soggetto attuatore proceda ad una alienazione unitaria e globale delle aree oggetto della presente convenzione, potrà trasmettere agli acquirenti gli oneri e gli obblighi previsti senza il permanere della responsabilità solidale.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Il soggetto attuatore si impegna a trascrivere per esteso le clausole relative agli obblighi contratti ed alle eventuali servitù di uso pubblico in tutti i successivi atti di compravendita.</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23</w:t>
        <w:tab/>
        <w:t>-</w:t>
        <w:tab/>
        <w:t>Oneri e spese</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La presente convenzione viene stipulata davanti al notaio designato dal soggetto attuatore che ne curerà la registrazione e la trascrizione.</w:t>
      </w:r>
    </w:p>
    <w:p>
      <w:pPr>
        <w:pStyle w:val="Standard"/>
        <w:ind w:left="567" w:hanging="0"/>
        <w:jc w:val="both"/>
        <w:rPr>
          <w:rFonts w:ascii="Trebuchet MS" w:hAnsi="Trebuchet MS" w:cs="Trebuchet MS"/>
          <w:color w:val="00000A"/>
          <w:sz w:val="22"/>
          <w:szCs w:val="22"/>
        </w:rPr>
      </w:pPr>
      <w:r>
        <w:rPr>
          <w:rFonts w:cs="Trebuchet MS" w:ascii="Trebuchet MS" w:hAnsi="Trebuchet MS"/>
          <w:color w:val="00000A"/>
          <w:sz w:val="22"/>
          <w:szCs w:val="22"/>
        </w:rPr>
        <w:t>Tutte le spese, imposte e tasse conseguenti e connesse al presente atto ed a quello successivo di stipula e di registrazione, sono a carico del soggetto attuatore.</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24</w:t>
        <w:tab/>
        <w:t>-</w:t>
        <w:tab/>
        <w:t>Controversie</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Per qualsiasi controversia relativa all’interpretazione e/o esecuzione della presente convenzione, che non fosse possibile comporre bonariamente, ha giurisdizione esclusiva il competente Giudice Amministrativo.</w:t>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widowControl w:val="false"/>
        <w:tabs>
          <w:tab w:val="left" w:pos="1813" w:leader="none"/>
        </w:tabs>
        <w:ind w:left="1020" w:hanging="1020"/>
        <w:jc w:val="both"/>
        <w:rPr>
          <w:rFonts w:ascii="Trebuchet MS" w:hAnsi="Trebuchet MS" w:cs="Trebuchet MS"/>
          <w:b/>
          <w:b/>
          <w:bCs/>
          <w:color w:val="00000A"/>
          <w:sz w:val="22"/>
          <w:szCs w:val="22"/>
        </w:rPr>
      </w:pPr>
      <w:r>
        <w:rPr>
          <w:rFonts w:cs="Trebuchet MS" w:ascii="Trebuchet MS" w:hAnsi="Trebuchet MS"/>
          <w:b/>
          <w:bCs/>
          <w:color w:val="00000A"/>
          <w:sz w:val="22"/>
          <w:szCs w:val="22"/>
        </w:rPr>
        <w:t>Art. 25</w:t>
        <w:tab/>
        <w:t>-</w:t>
        <w:tab/>
        <w:t>Sanzioni ed eventuali escussioni</w:t>
      </w:r>
    </w:p>
    <w:p>
      <w:pPr>
        <w:pStyle w:val="Standard"/>
        <w:widowControl w:val="false"/>
        <w:tabs>
          <w:tab w:val="left" w:pos="1813" w:leader="none"/>
        </w:tabs>
        <w:ind w:left="1020" w:hanging="1020"/>
        <w:jc w:val="both"/>
        <w:rPr>
          <w:rFonts w:ascii="Trebuchet MS" w:hAnsi="Trebuchet MS" w:cs="Trebuchet MS"/>
          <w:color w:val="00000A"/>
          <w:sz w:val="22"/>
        </w:rPr>
      </w:pPr>
      <w:r>
        <w:rPr>
          <w:rFonts w:cs="Trebuchet MS" w:ascii="Trebuchet MS" w:hAnsi="Trebuchet MS"/>
          <w:color w:val="00000A"/>
          <w:sz w:val="22"/>
        </w:rPr>
      </w:r>
    </w:p>
    <w:p>
      <w:pPr>
        <w:pStyle w:val="Standard"/>
        <w:ind w:left="567" w:hanging="567"/>
        <w:jc w:val="both"/>
        <w:rPr>
          <w:color w:val="00000A"/>
        </w:rPr>
      </w:pPr>
      <w:r>
        <w:rPr>
          <w:rFonts w:cs="Trebuchet MS" w:ascii="Trebuchet MS" w:hAnsi="Trebuchet MS"/>
          <w:b/>
          <w:bCs/>
          <w:color w:val="00000A"/>
          <w:sz w:val="22"/>
          <w:szCs w:val="22"/>
        </w:rPr>
        <w:t>1.</w:t>
      </w:r>
      <w:r>
        <w:rPr>
          <w:rFonts w:cs="Trebuchet MS" w:ascii="Trebuchet MS" w:hAnsi="Trebuchet MS"/>
          <w:color w:val="00000A"/>
          <w:sz w:val="22"/>
          <w:szCs w:val="22"/>
        </w:rPr>
        <w:tab/>
        <w:t>In caso di inosservanza da parte del soggetto attuatore degli obblighi assunti con la presente convenzione si richiamano le sanzioni di Legge.</w:t>
      </w:r>
    </w:p>
    <w:p>
      <w:pPr>
        <w:pStyle w:val="Standard"/>
        <w:ind w:left="567" w:hanging="567"/>
        <w:jc w:val="both"/>
        <w:rPr>
          <w:rFonts w:ascii="Trebuchet MS" w:hAnsi="Trebuchet MS" w:cs="Trebuchet MS"/>
          <w:color w:val="00000A"/>
          <w:sz w:val="22"/>
          <w:szCs w:val="22"/>
        </w:rPr>
      </w:pPr>
      <w:r>
        <w:rPr>
          <w:rFonts w:cs="Trebuchet MS" w:ascii="Trebuchet MS" w:hAnsi="Trebuchet MS"/>
          <w:color w:val="00000A"/>
          <w:sz w:val="22"/>
          <w:szCs w:val="22"/>
        </w:rPr>
      </w:r>
    </w:p>
    <w:p>
      <w:pPr>
        <w:pStyle w:val="Standard"/>
        <w:ind w:left="567" w:hanging="567"/>
        <w:jc w:val="both"/>
        <w:rPr/>
      </w:pPr>
      <w:r>
        <w:rPr/>
      </w:r>
    </w:p>
    <w:sectPr>
      <w:headerReference w:type="default" r:id="rId4"/>
      <w:footerReference w:type="default" r:id="rId5"/>
      <w:type w:val="nextPage"/>
      <w:pgSz w:w="11906" w:h="16838"/>
      <w:pgMar w:left="1134" w:right="1134" w:header="0" w:top="1134" w:footer="1134" w:bottom="1603" w:gutter="0"/>
      <w:pgNumType w:start="1"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rebuchet MS">
    <w:charset w:val="00"/>
    <w:family w:val="swiss"/>
    <w:pitch w:val="default"/>
  </w:font>
  <w:font w:name="Trebuchet MS">
    <w:charset w:val="01"/>
    <w:family w:val="swiss"/>
    <w:pitch w:val="default"/>
  </w:font>
  <w:font w:name="Times New Roman">
    <w:charset w:val="01"/>
    <w:family w:val="swiss"/>
    <w:pitch w:val="default"/>
  </w:font>
  <w:font w:name="Courier New">
    <w:charset w:val="01"/>
    <w:family w:val="swiss"/>
    <w:pitch w:val="default"/>
  </w:font>
  <w:font w:name="Wingdings">
    <w:charset w:val="01"/>
    <w:family w:val="swiss"/>
    <w:pitch w:val="default"/>
  </w:font>
  <w:font w:name="Symbol">
    <w:charset w:val="01"/>
    <w:family w:val="swiss"/>
    <w:pitch w:val="default"/>
  </w:font>
  <w:font w:name="OpenSymbol">
    <w:altName w:val="Arial Unicode MS"/>
    <w:charset w:val="01"/>
    <w:family w:val="swiss"/>
    <w:pitch w:val="default"/>
  </w:font>
  <w:font w:name="Courier New">
    <w:charset w:val="00"/>
    <w:family w:val="modern"/>
    <w:pitch w:val="default"/>
  </w:font>
  <w:font w:name="Cambria">
    <w:charset w:val="00"/>
    <w:family w:val="roman"/>
    <w:pitch w:val="variable"/>
  </w:font>
  <w:font w:name="Wingdings">
    <w:charset w:val="02"/>
    <w:family w:val="auto"/>
    <w:pitch w:val="variable"/>
  </w:font>
  <w:font w:name="nullnull">
    <w:charset w:val="00"/>
    <w:family w:val="swiss"/>
    <w:pitch w:val="variable"/>
  </w:font>
  <w:font w:name="Liberation Sans">
    <w:altName w:val="Arial"/>
    <w:charset w:val="01"/>
    <w:family w:val="swiss"/>
    <w:pitch w:val="default"/>
  </w:font>
  <w:font w:name="Arial">
    <w:charset w:val="01"/>
    <w:family w:val="swiss"/>
    <w:pitch w:val="default"/>
  </w:font>
  <w:font w:name="Tahoma">
    <w:charset w:val="01"/>
    <w:family w:val="swiss"/>
    <w:pitch w:val="default"/>
  </w:font>
  <w:font w:name="Calibri">
    <w:charset w:val="01"/>
    <w:family w:val="swiss"/>
    <w:pitch w:val="default"/>
  </w:font>
  <w:font w:name="Tahom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bookmarkStart w:id="0" w:name="_GoBack"/>
    <w:r>
      <w:rPr>
        <w:rFonts w:cs="Arial" w:ascii="Trebuchet MS" w:hAnsi="Trebuchet MS"/>
        <w:color w:val="00000A"/>
        <w:sz w:val="18"/>
      </w:rPr>
      <w:t>revisione 28 novembre 2018</w:t>
    </w:r>
    <w:bookmarkEnd w:id="0"/>
    <w:r>
      <w:rPr/>
      <w:tab/>
    </w:r>
    <w:r>
      <w:rPr/>
      <w:fldChar w:fldCharType="begin"/>
    </w:r>
    <w:r>
      <w:instrText> PAGE </w:instrText>
    </w:r>
    <w:r>
      <w:fldChar w:fldCharType="separate"/>
    </w:r>
    <w:r>
      <w:t>31</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keepNext/>
      <w:widowControl w:val="false"/>
      <w:bidi w:val="0"/>
      <w:spacing w:before="240" w:after="120"/>
      <w:jc w:val="left"/>
      <w:rPr/>
    </w:pPr>
    <w:r>
      <w:rPr/>
    </w:r>
  </w:p>
</w:hdr>
</file>

<file path=word/settings.xml><?xml version="1.0" encoding="utf-8"?>
<w:settings xmlns:w="http://schemas.openxmlformats.org/wordprocessingml/2006/main">
  <w:zoom w:percent="220"/>
  <w:defaultTabStop w:val="709"/>
  <w:autoHyphenation w:val="false"/>
  <w:compat>
    <w:compatSetting w:name="compatibilityMode" w:uri="http://schemas.microsoft.com/office/word" w:val="14"/>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rebuchet MS" w:hAnsi="Trebuchet MS" w:eastAsia="SimSun" w:cs="Mangal"/>
        <w:szCs w:val="24"/>
        <w:lang w:val="it-IT" w:eastAsia="zh-CN" w:bidi="hi-IN"/>
      </w:rPr>
    </w:rPrDefault>
    <w:pPrDefault>
      <w:pPr>
        <w:widowControl/>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kinsoku w:val="true"/>
      <w:overflowPunct w:val="true"/>
      <w:autoSpaceDE w:val="true"/>
      <w:bidi w:val="0"/>
      <w:jc w:val="left"/>
      <w:textAlignment w:val="baseline"/>
    </w:pPr>
    <w:rPr>
      <w:rFonts w:ascii="Trebuchet MS" w:hAnsi="Trebuchet MS" w:eastAsia="SimSun" w:cs="Mangal"/>
      <w:color w:val="00000A"/>
      <w:sz w:val="24"/>
      <w:szCs w:val="24"/>
      <w:lang w:val="it-IT" w:eastAsia="zh-CN" w:bidi="hi-IN"/>
    </w:rPr>
  </w:style>
  <w:style w:type="paragraph" w:styleId="Titolo1">
    <w:name w:val="Heading 1"/>
    <w:basedOn w:val="Normal"/>
    <w:qFormat/>
    <w:pPr>
      <w:keepNext/>
      <w:widowControl w:val="false"/>
      <w:ind w:left="900" w:right="-79" w:hanging="0"/>
      <w:jc w:val="both"/>
      <w:outlineLvl w:val="0"/>
    </w:pPr>
    <w:rPr>
      <w:u w:val="single"/>
    </w:rPr>
  </w:style>
  <w:style w:type="paragraph" w:styleId="Titolo2">
    <w:name w:val="Heading 2"/>
    <w:basedOn w:val="Normal"/>
    <w:qFormat/>
    <w:pPr>
      <w:keepNext/>
      <w:widowControl w:val="false"/>
      <w:spacing w:lineRule="auto" w:line="360"/>
      <w:ind w:right="567" w:hanging="0"/>
      <w:jc w:val="center"/>
      <w:outlineLvl w:val="1"/>
    </w:pPr>
    <w:rPr>
      <w:b/>
      <w:bCs/>
      <w:sz w:val="28"/>
    </w:rPr>
  </w:style>
  <w:style w:type="paragraph" w:styleId="Titolo3">
    <w:name w:val="Heading 3"/>
    <w:basedOn w:val="Normal"/>
    <w:qFormat/>
    <w:pPr>
      <w:keepNext/>
      <w:widowControl w:val="false"/>
      <w:ind w:right="567" w:hanging="0"/>
      <w:outlineLvl w:val="2"/>
    </w:pPr>
    <w:rPr>
      <w:i/>
      <w:iCs/>
    </w:rPr>
  </w:style>
  <w:style w:type="paragraph" w:styleId="Titolo4">
    <w:name w:val="Heading 4"/>
    <w:basedOn w:val="Normal"/>
    <w:qFormat/>
    <w:pPr>
      <w:keepNext/>
      <w:widowControl w:val="false"/>
      <w:ind w:left="1080" w:right="-79" w:hanging="180"/>
      <w:jc w:val="both"/>
      <w:outlineLvl w:val="3"/>
    </w:pPr>
    <w:rPr>
      <w:u w:val="single"/>
    </w:rPr>
  </w:style>
  <w:style w:type="paragraph" w:styleId="Titolo5">
    <w:name w:val="Heading 5"/>
    <w:basedOn w:val="Intestazione"/>
    <w:qFormat/>
    <w:pPr>
      <w:outlineLvl w:val="4"/>
    </w:pPr>
    <w:rPr>
      <w:b/>
      <w:bCs/>
      <w:sz w:val="24"/>
      <w:szCs w:val="24"/>
    </w:rPr>
  </w:style>
  <w:style w:type="paragraph" w:styleId="Titolo6">
    <w:name w:val="Heading 6"/>
    <w:basedOn w:val="Intestazione"/>
    <w:qFormat/>
    <w:pPr>
      <w:outlineLvl w:val="5"/>
    </w:pPr>
    <w:rPr>
      <w:b/>
      <w:bCs/>
      <w:sz w:val="21"/>
      <w:szCs w:val="21"/>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Times New Roman" w:hAnsi="Times New Roman" w:eastAsia="Times New Roman" w:cs="Times New Roman"/>
      <w:b w:val="false"/>
      <w:i w:val="false"/>
      <w:sz w:val="20"/>
      <w:u w:val="none"/>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Times New Roman" w:hAnsi="Times New Roman" w:eastAsia="Times New Roman" w:cs="Times New Roman"/>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1" w:customStyle="1">
    <w:name w:val="WW8Num5z1"/>
    <w:qFormat/>
    <w:rPr>
      <w:rFonts w:ascii="Courier New" w:hAnsi="Courier New" w:eastAsia="Courier New" w:cs="Courier New"/>
    </w:rPr>
  </w:style>
  <w:style w:type="character" w:styleId="WW8Num5z2" w:customStyle="1">
    <w:name w:val="WW8Num5z2"/>
    <w:qFormat/>
    <w:rPr>
      <w:rFonts w:ascii="Wingdings" w:hAnsi="Wingdings" w:eastAsia="Wingdings" w:cs="Wingdings"/>
    </w:rPr>
  </w:style>
  <w:style w:type="character" w:styleId="WW8Num5z3" w:customStyle="1">
    <w:name w:val="WW8Num5z3"/>
    <w:qFormat/>
    <w:rPr>
      <w:rFonts w:ascii="Symbol" w:hAnsi="Symbol" w:eastAsia="Symbol" w:cs="Symbol"/>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style>
  <w:style w:type="character" w:styleId="WW8Num7z1" w:customStyle="1">
    <w:name w:val="WW8Num7z1"/>
    <w:qFormat/>
    <w:rPr>
      <w:rFonts w:ascii="Courier New" w:hAnsi="Courier New" w:eastAsia="Courier New" w:cs="Courier New"/>
    </w:rPr>
  </w:style>
  <w:style w:type="character" w:styleId="WW8Num7z2" w:customStyle="1">
    <w:name w:val="WW8Num7z2"/>
    <w:qFormat/>
    <w:rPr>
      <w:rFonts w:ascii="Wingdings" w:hAnsi="Wingdings" w:eastAsia="Wingdings" w:cs="Wingdings"/>
    </w:rPr>
  </w:style>
  <w:style w:type="character" w:styleId="WW8Num7z3" w:customStyle="1">
    <w:name w:val="WW8Num7z3"/>
    <w:qFormat/>
    <w:rPr>
      <w:rFonts w:ascii="Symbol" w:hAnsi="Symbol" w:eastAsia="Symbol" w:cs="Symbol"/>
    </w:rPr>
  </w:style>
  <w:style w:type="character" w:styleId="WW8Num8z0" w:customStyle="1">
    <w:name w:val="WW8Num8z0"/>
    <w:qFormat/>
    <w:rPr>
      <w:rFonts w:ascii="Times New Roman" w:hAnsi="Times New Roman" w:eastAsia="Times New Roman" w:cs="Times New Roman"/>
      <w:b w:val="false"/>
      <w:i w:val="false"/>
      <w:sz w:val="20"/>
      <w:u w:val="none"/>
    </w:rPr>
  </w:style>
  <w:style w:type="character" w:styleId="WW8Num9z0" w:customStyle="1">
    <w:name w:val="WW8Num9z0"/>
    <w:qFormat/>
    <w:rPr/>
  </w:style>
  <w:style w:type="character" w:styleId="WW8Num10z0" w:customStyle="1">
    <w:name w:val="WW8Num10z0"/>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St2z0" w:customStyle="1">
    <w:name w:val="WW8NumSt2z0"/>
    <w:qFormat/>
    <w:rPr>
      <w:rFonts w:ascii="Times New Roman" w:hAnsi="Times New Roman" w:eastAsia="Times New Roman" w:cs="Times New Roman"/>
      <w:b w:val="false"/>
      <w:i w:val="false"/>
      <w:sz w:val="20"/>
      <w:u w:val="none"/>
    </w:rPr>
  </w:style>
  <w:style w:type="character" w:styleId="Caratterepredefinitoparagrafo" w:customStyle="1">
    <w:name w:val="Carattere predefinito paragrafo"/>
    <w:qFormat/>
    <w:rPr/>
  </w:style>
  <w:style w:type="character" w:styleId="Pagenumber">
    <w:name w:val="page number"/>
    <w:basedOn w:val="Caratterepredefinitoparagrafo"/>
    <w:qFormat/>
    <w:rPr/>
  </w:style>
  <w:style w:type="character" w:styleId="Enfasiforte" w:customStyle="1">
    <w:name w:val="Enfasi forte"/>
    <w:qFormat/>
    <w:rPr>
      <w:b/>
      <w:bCs/>
    </w:rPr>
  </w:style>
  <w:style w:type="character" w:styleId="Caratteridinumerazione" w:customStyle="1">
    <w:name w:val="Caratteri di numerazione"/>
    <w:qFormat/>
    <w:rPr/>
  </w:style>
  <w:style w:type="character" w:styleId="Punti" w:customStyle="1">
    <w:name w:val="Punti"/>
    <w:qFormat/>
    <w:rPr>
      <w:rFonts w:ascii="OpenSymbol, 'Arial Unicode MS'" w:hAnsi="OpenSymbol, 'Arial Unicode MS'" w:eastAsia="OpenSymbol, 'Arial Unicode MS'" w:cs="OpenSymbol, 'Arial Unicode MS'"/>
    </w:rPr>
  </w:style>
  <w:style w:type="character" w:styleId="Enfasi">
    <w:name w:val="Enfasi"/>
    <w:qFormat/>
    <w:rPr>
      <w:i/>
      <w:iCs/>
    </w:rPr>
  </w:style>
  <w:style w:type="character" w:styleId="Linkneltesto">
    <w:name w:val="link_nel_testo"/>
    <w:qFormat/>
    <w:rPr/>
  </w:style>
  <w:style w:type="character" w:styleId="Appleconvertedspace">
    <w:name w:val="apple-converted-space"/>
    <w:qFormat/>
    <w:rPr/>
  </w:style>
  <w:style w:type="character" w:styleId="TestonormaleCarattere">
    <w:name w:val="Testo normale Carattere"/>
    <w:qFormat/>
    <w:rPr>
      <w:rFonts w:ascii="Courier New" w:hAnsi="Courier New" w:cs="Courier New"/>
    </w:rPr>
  </w:style>
  <w:style w:type="character" w:styleId="Titolo2Carattere">
    <w:name w:val="Titolo 2 Carattere"/>
    <w:qFormat/>
    <w:rPr>
      <w:rFonts w:ascii="Cambria" w:hAnsi="Cambria" w:eastAsia="Times New Roman" w:cs="Times New Roman"/>
      <w:b/>
      <w:bCs/>
      <w:i/>
      <w:iCs/>
      <w:sz w:val="28"/>
      <w:szCs w:val="28"/>
    </w:rPr>
  </w:style>
  <w:style w:type="character" w:styleId="CharacterStyle2">
    <w:name w:val="Character Style 2"/>
    <w:qFormat/>
    <w:rPr>
      <w:rFonts w:ascii="Arial" w:hAnsi="Arial" w:cs="Arial"/>
      <w:sz w:val="20"/>
    </w:rPr>
  </w:style>
  <w:style w:type="character" w:styleId="CharacterStyle1">
    <w:name w:val="Character Style 1"/>
    <w:qFormat/>
    <w:rPr>
      <w:sz w:val="20"/>
    </w:rPr>
  </w:style>
  <w:style w:type="character" w:styleId="CollegamentoInternet">
    <w:name w:val="Collegamento Internet"/>
    <w:rPr>
      <w:color w:val="0000FF"/>
      <w:u w:val="single"/>
    </w:rPr>
  </w:style>
  <w:style w:type="character" w:styleId="Numerodipagina">
    <w:name w:val="Numero di pagina"/>
    <w:basedOn w:val="Carpredefinitoparagrafo"/>
    <w:rPr/>
  </w:style>
  <w:style w:type="character" w:styleId="Carpredefinitoparagrafo">
    <w:name w:val="Car. predefinito paragrafo"/>
    <w:qFormat/>
    <w:rPr/>
  </w:style>
  <w:style w:type="character" w:styleId="WW8Num23z3">
    <w:name w:val="WW8Num23z3"/>
    <w:qFormat/>
    <w:rPr>
      <w:rFonts w:ascii="Symbol" w:hAnsi="Symbol" w:cs="Symbol"/>
    </w:rPr>
  </w:style>
  <w:style w:type="character" w:styleId="WW8Num23z2">
    <w:name w:val="WW8Num23z2"/>
    <w:qFormat/>
    <w:rPr>
      <w:rFonts w:ascii="Wingdings" w:hAnsi="Wingdings" w:cs="Wingdings"/>
    </w:rPr>
  </w:style>
  <w:style w:type="character" w:styleId="WW8Num23z1">
    <w:name w:val="WW8Num23z1"/>
    <w:qFormat/>
    <w:rPr>
      <w:rFonts w:ascii="Courier New" w:hAnsi="Courier New" w:cs="Courier New"/>
    </w:rPr>
  </w:style>
  <w:style w:type="character" w:styleId="WW8Num23z0">
    <w:name w:val="WW8Num23z0"/>
    <w:qFormat/>
    <w:rPr>
      <w:rFonts w:ascii="Times New Roman" w:hAnsi="Times New Roman" w:eastAsia="Times New Roman" w:cs="Times New Roman"/>
    </w:rPr>
  </w:style>
  <w:style w:type="character" w:styleId="WW8Num22z8">
    <w:name w:val="WW8Num22z8"/>
    <w:qFormat/>
    <w:rPr/>
  </w:style>
  <w:style w:type="character" w:styleId="WW8Num22z7">
    <w:name w:val="WW8Num22z7"/>
    <w:qFormat/>
    <w:rPr/>
  </w:style>
  <w:style w:type="character" w:styleId="WW8Num22z6">
    <w:name w:val="WW8Num22z6"/>
    <w:qFormat/>
    <w:rPr/>
  </w:style>
  <w:style w:type="character" w:styleId="WW8Num22z5">
    <w:name w:val="WW8Num22z5"/>
    <w:qFormat/>
    <w:rPr/>
  </w:style>
  <w:style w:type="character" w:styleId="WW8Num22z4">
    <w:name w:val="WW8Num22z4"/>
    <w:qFormat/>
    <w:rPr/>
  </w:style>
  <w:style w:type="character" w:styleId="WW8Num22z2">
    <w:name w:val="WW8Num22z2"/>
    <w:qFormat/>
    <w:rPr/>
  </w:style>
  <w:style w:type="character" w:styleId="WW8Num22z0">
    <w:name w:val="WW8Num22z0"/>
    <w:qFormat/>
    <w:rPr/>
  </w:style>
  <w:style w:type="character" w:styleId="WW8Num21z8">
    <w:name w:val="WW8Num21z8"/>
    <w:qFormat/>
    <w:rPr/>
  </w:style>
  <w:style w:type="character" w:styleId="WW8Num21z7">
    <w:name w:val="WW8Num21z7"/>
    <w:qFormat/>
    <w:rPr/>
  </w:style>
  <w:style w:type="character" w:styleId="WW8Num21z6">
    <w:name w:val="WW8Num21z6"/>
    <w:qFormat/>
    <w:rPr/>
  </w:style>
  <w:style w:type="character" w:styleId="WW8Num21z5">
    <w:name w:val="WW8Num21z5"/>
    <w:qFormat/>
    <w:rPr/>
  </w:style>
  <w:style w:type="character" w:styleId="WW8Num21z4">
    <w:name w:val="WW8Num21z4"/>
    <w:qFormat/>
    <w:rPr/>
  </w:style>
  <w:style w:type="character" w:styleId="WW8Num21z3">
    <w:name w:val="WW8Num21z3"/>
    <w:qFormat/>
    <w:rPr/>
  </w:style>
  <w:style w:type="character" w:styleId="WW8Num21z2">
    <w:name w:val="WW8Num21z2"/>
    <w:qFormat/>
    <w:rPr/>
  </w:style>
  <w:style w:type="character" w:styleId="WW8Num21z1">
    <w:name w:val="WW8Num21z1"/>
    <w:qFormat/>
    <w:rPr/>
  </w:style>
  <w:style w:type="character" w:styleId="WW8Num21z0">
    <w:name w:val="WW8Num21z0"/>
    <w:qFormat/>
    <w:rPr>
      <w:i w:val="false"/>
    </w:rPr>
  </w:style>
  <w:style w:type="character" w:styleId="WW8Num20z1">
    <w:name w:val="WW8Num20z1"/>
    <w:qFormat/>
    <w:rPr>
      <w:rFonts w:ascii="nullnull" w:hAnsi="nullnull" w:cs="nullnull"/>
    </w:rPr>
  </w:style>
  <w:style w:type="character" w:styleId="WW8Num20z0">
    <w:name w:val="WW8Num20z0"/>
    <w:qFormat/>
    <w:rPr>
      <w:rFonts w:cs="Arial"/>
      <w:b w:val="false"/>
      <w:i w:val="false"/>
      <w:sz w:val="24"/>
    </w:rPr>
  </w:style>
  <w:style w:type="character" w:styleId="WW8Num19z8">
    <w:name w:val="WW8Num19z8"/>
    <w:qFormat/>
    <w:rPr/>
  </w:style>
  <w:style w:type="character" w:styleId="WW8Num19z7">
    <w:name w:val="WW8Num19z7"/>
    <w:qFormat/>
    <w:rPr/>
  </w:style>
  <w:style w:type="character" w:styleId="WW8Num19z6">
    <w:name w:val="WW8Num19z6"/>
    <w:qFormat/>
    <w:rPr/>
  </w:style>
  <w:style w:type="character" w:styleId="WW8Num19z5">
    <w:name w:val="WW8Num19z5"/>
    <w:qFormat/>
    <w:rPr/>
  </w:style>
  <w:style w:type="character" w:styleId="WW8Num19z4">
    <w:name w:val="WW8Num19z4"/>
    <w:qFormat/>
    <w:rPr/>
  </w:style>
  <w:style w:type="character" w:styleId="WW8Num19z3">
    <w:name w:val="WW8Num19z3"/>
    <w:qFormat/>
    <w:rPr/>
  </w:style>
  <w:style w:type="character" w:styleId="WW8Num19z2">
    <w:name w:val="WW8Num19z2"/>
    <w:qFormat/>
    <w:rPr/>
  </w:style>
  <w:style w:type="character" w:styleId="WW8Num19z1">
    <w:name w:val="WW8Num19z1"/>
    <w:qFormat/>
    <w:rPr/>
  </w:style>
  <w:style w:type="character" w:styleId="WW8Num19z0">
    <w:name w:val="WW8Num19z0"/>
    <w:qFormat/>
    <w:rPr/>
  </w:style>
  <w:style w:type="character" w:styleId="WW8Num18z3">
    <w:name w:val="WW8Num18z3"/>
    <w:qFormat/>
    <w:rPr>
      <w:rFonts w:ascii="Symbol" w:hAnsi="Symbol" w:cs="Symbol"/>
    </w:rPr>
  </w:style>
  <w:style w:type="character" w:styleId="WW8Num18z2">
    <w:name w:val="WW8Num18z2"/>
    <w:qFormat/>
    <w:rPr>
      <w:rFonts w:ascii="Wingdings" w:hAnsi="Wingdings" w:cs="Wingdings"/>
    </w:rPr>
  </w:style>
  <w:style w:type="character" w:styleId="WW8Num18z1">
    <w:name w:val="WW8Num18z1"/>
    <w:qFormat/>
    <w:rPr>
      <w:rFonts w:ascii="Courier New" w:hAnsi="Courier New" w:cs="Courier New"/>
    </w:rPr>
  </w:style>
  <w:style w:type="character" w:styleId="WW8Num18z0">
    <w:name w:val="WW8Num18z0"/>
    <w:qFormat/>
    <w:rPr>
      <w:rFonts w:ascii="Arial" w:hAnsi="Arial" w:eastAsia="Times New Roman" w:cs="Arial"/>
      <w:color w:val="000000"/>
    </w:rPr>
  </w:style>
  <w:style w:type="character" w:styleId="WW8Num17z8">
    <w:name w:val="WW8Num17z8"/>
    <w:qFormat/>
    <w:rPr/>
  </w:style>
  <w:style w:type="character" w:styleId="WW8Num17z7">
    <w:name w:val="WW8Num17z7"/>
    <w:qFormat/>
    <w:rPr/>
  </w:style>
  <w:style w:type="character" w:styleId="WW8Num17z6">
    <w:name w:val="WW8Num17z6"/>
    <w:qFormat/>
    <w:rPr/>
  </w:style>
  <w:style w:type="character" w:styleId="WW8Num17z5">
    <w:name w:val="WW8Num17z5"/>
    <w:qFormat/>
    <w:rPr/>
  </w:style>
  <w:style w:type="character" w:styleId="WW8Num17z4">
    <w:name w:val="WW8Num17z4"/>
    <w:qFormat/>
    <w:rPr/>
  </w:style>
  <w:style w:type="character" w:styleId="WW8Num17z3">
    <w:name w:val="WW8Num17z3"/>
    <w:qFormat/>
    <w:rPr/>
  </w:style>
  <w:style w:type="character" w:styleId="WW8Num17z2">
    <w:name w:val="WW8Num17z2"/>
    <w:qFormat/>
    <w:rPr/>
  </w:style>
  <w:style w:type="character" w:styleId="WW8Num17z1">
    <w:name w:val="WW8Num17z1"/>
    <w:qFormat/>
    <w:rPr/>
  </w:style>
  <w:style w:type="character" w:styleId="WW8Num17z0">
    <w:name w:val="WW8Num17z0"/>
    <w:qFormat/>
    <w:rPr>
      <w:rFonts w:ascii="Symbol" w:hAnsi="Symbol" w:cs="Symbol"/>
    </w:rPr>
  </w:style>
  <w:style w:type="character" w:styleId="WW8Num16z3">
    <w:name w:val="WW8Num16z3"/>
    <w:qFormat/>
    <w:rPr>
      <w:rFonts w:ascii="Symbol" w:hAnsi="Symbol" w:cs="Symbol"/>
    </w:rPr>
  </w:style>
  <w:style w:type="character" w:styleId="WW8Num16z2">
    <w:name w:val="WW8Num16z2"/>
    <w:qFormat/>
    <w:rPr>
      <w:rFonts w:ascii="Wingdings" w:hAnsi="Wingdings" w:cs="Wingdings"/>
    </w:rPr>
  </w:style>
  <w:style w:type="character" w:styleId="WW8Num16z1">
    <w:name w:val="WW8Num16z1"/>
    <w:qFormat/>
    <w:rPr>
      <w:rFonts w:ascii="Courier New" w:hAnsi="Courier New" w:cs="Courier New"/>
    </w:rPr>
  </w:style>
  <w:style w:type="character" w:styleId="WW8Num16z0">
    <w:name w:val="WW8Num16z0"/>
    <w:qFormat/>
    <w:rPr>
      <w:rFonts w:ascii="Times New Roman" w:hAnsi="Times New Roman" w:eastAsia="Times New Roman" w:cs="Times New Roman"/>
    </w:rPr>
  </w:style>
  <w:style w:type="character" w:styleId="WW8Num15z8">
    <w:name w:val="WW8Num15z8"/>
    <w:qFormat/>
    <w:rPr/>
  </w:style>
  <w:style w:type="character" w:styleId="WW8Num15z7">
    <w:name w:val="WW8Num15z7"/>
    <w:qFormat/>
    <w:rPr/>
  </w:style>
  <w:style w:type="character" w:styleId="WW8Num15z6">
    <w:name w:val="WW8Num15z6"/>
    <w:qFormat/>
    <w:rPr/>
  </w:style>
  <w:style w:type="character" w:styleId="WW8Num15z5">
    <w:name w:val="WW8Num15z5"/>
    <w:qFormat/>
    <w:rPr/>
  </w:style>
  <w:style w:type="character" w:styleId="WW8Num15z4">
    <w:name w:val="WW8Num15z4"/>
    <w:qFormat/>
    <w:rPr/>
  </w:style>
  <w:style w:type="character" w:styleId="WW8Num15z3">
    <w:name w:val="WW8Num15z3"/>
    <w:qFormat/>
    <w:rPr/>
  </w:style>
  <w:style w:type="character" w:styleId="WW8Num15z2">
    <w:name w:val="WW8Num15z2"/>
    <w:qFormat/>
    <w:rPr/>
  </w:style>
  <w:style w:type="character" w:styleId="WW8Num15z1">
    <w:name w:val="WW8Num15z1"/>
    <w:qFormat/>
    <w:rPr/>
  </w:style>
  <w:style w:type="character" w:styleId="WW8Num15z0">
    <w:name w:val="WW8Num15z0"/>
    <w:qFormat/>
    <w:rPr>
      <w:i w:val="false"/>
    </w:rPr>
  </w:style>
  <w:style w:type="character" w:styleId="WW8Num14z8">
    <w:name w:val="WW8Num14z8"/>
    <w:qFormat/>
    <w:rPr/>
  </w:style>
  <w:style w:type="character" w:styleId="WW8Num14z7">
    <w:name w:val="WW8Num14z7"/>
    <w:qFormat/>
    <w:rPr/>
  </w:style>
  <w:style w:type="character" w:styleId="WW8Num14z6">
    <w:name w:val="WW8Num14z6"/>
    <w:qFormat/>
    <w:rPr/>
  </w:style>
  <w:style w:type="character" w:styleId="WW8Num14z5">
    <w:name w:val="WW8Num14z5"/>
    <w:qFormat/>
    <w:rPr/>
  </w:style>
  <w:style w:type="character" w:styleId="WW8Num14z4">
    <w:name w:val="WW8Num14z4"/>
    <w:qFormat/>
    <w:rPr/>
  </w:style>
  <w:style w:type="character" w:styleId="WW8Num14z3">
    <w:name w:val="WW8Num14z3"/>
    <w:qFormat/>
    <w:rPr/>
  </w:style>
  <w:style w:type="character" w:styleId="WW8Num14z2">
    <w:name w:val="WW8Num14z2"/>
    <w:qFormat/>
    <w:rPr/>
  </w:style>
  <w:style w:type="character" w:styleId="WW8Num14z1">
    <w:name w:val="WW8Num14z1"/>
    <w:qFormat/>
    <w:rPr/>
  </w:style>
  <w:style w:type="character" w:styleId="WW8Num14z0">
    <w:name w:val="WW8Num14z0"/>
    <w:qFormat/>
    <w:rPr>
      <w:b/>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b/>
    </w:rPr>
  </w:style>
  <w:style w:type="character" w:styleId="WW8Num12z8">
    <w:name w:val="WW8Num12z8"/>
    <w:qFormat/>
    <w:rPr/>
  </w:style>
  <w:style w:type="character" w:styleId="WW8Num12z7">
    <w:name w:val="WW8Num12z7"/>
    <w:qFormat/>
    <w:rPr/>
  </w:style>
  <w:style w:type="character" w:styleId="WW8Num12z6">
    <w:name w:val="WW8Num12z6"/>
    <w:qFormat/>
    <w:rPr/>
  </w:style>
  <w:style w:type="character" w:styleId="WW8Num12z5">
    <w:name w:val="WW8Num12z5"/>
    <w:qFormat/>
    <w:rPr/>
  </w:style>
  <w:style w:type="character" w:styleId="WW8Num12z4">
    <w:name w:val="WW8Num12z4"/>
    <w:qFormat/>
    <w:rPr/>
  </w:style>
  <w:style w:type="character" w:styleId="WW8Num12z3">
    <w:name w:val="WW8Num12z3"/>
    <w:qFormat/>
    <w:rPr/>
  </w:style>
  <w:style w:type="character" w:styleId="WW8Num12z2">
    <w:name w:val="WW8Num12z2"/>
    <w:qFormat/>
    <w:rPr/>
  </w:style>
  <w:style w:type="character" w:styleId="WW8Num12z1">
    <w:name w:val="WW8Num12z1"/>
    <w:qFormat/>
    <w:rPr/>
  </w:style>
  <w:style w:type="character" w:styleId="WW8Num12z0">
    <w:name w:val="WW8Num12z0"/>
    <w:qFormat/>
    <w:rPr>
      <w:b/>
      <w:i w:val="false"/>
    </w:rPr>
  </w:style>
  <w:style w:type="character" w:styleId="WW8Num11z3">
    <w:name w:val="WW8Num11z3"/>
    <w:qFormat/>
    <w:rPr>
      <w:rFonts w:ascii="Symbol" w:hAnsi="Symbol" w:cs="Symbol"/>
    </w:rPr>
  </w:style>
  <w:style w:type="character" w:styleId="WW8Num11z2">
    <w:name w:val="WW8Num11z2"/>
    <w:qFormat/>
    <w:rPr>
      <w:rFonts w:ascii="Wingdings" w:hAnsi="Wingdings" w:cs="Wingdings"/>
    </w:rPr>
  </w:style>
  <w:style w:type="character" w:styleId="WW8Num11z1">
    <w:name w:val="WW8Num11z1"/>
    <w:qFormat/>
    <w:rPr>
      <w:rFonts w:ascii="Courier New" w:hAnsi="Courier New" w:cs="Courier New"/>
    </w:rPr>
  </w:style>
  <w:style w:type="character" w:styleId="WW8Num11z0">
    <w:name w:val="WW8Num11z0"/>
    <w:qFormat/>
    <w:rPr>
      <w:rFonts w:ascii="Times New Roman" w:hAnsi="Times New Roman" w:eastAsia="Times New Roman" w:cs="Times New Roman"/>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8z3">
    <w:name w:val="WW8Num8z3"/>
    <w:qFormat/>
    <w:rPr>
      <w:rFonts w:ascii="Symbol" w:hAnsi="Symbol" w:cs="Symbol"/>
    </w:rPr>
  </w:style>
  <w:style w:type="character" w:styleId="WW8Num8z2">
    <w:name w:val="WW8Num8z2"/>
    <w:qFormat/>
    <w:rPr>
      <w:rFonts w:ascii="Wingdings" w:hAnsi="Wingdings" w:cs="Wingdings"/>
    </w:rPr>
  </w:style>
  <w:style w:type="character" w:styleId="WW8Num8z1">
    <w:name w:val="WW8Num8z1"/>
    <w:qFormat/>
    <w:rPr>
      <w:rFonts w:ascii="Courier New" w:hAnsi="Courier New" w:cs="Courier New"/>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rFonts w:ascii="Symbol" w:hAnsi="Symbol" w:cs="Symbol"/>
    </w:rPr>
  </w:style>
  <w:style w:type="paragraph" w:styleId="Titolo">
    <w:name w:val="Titolo"/>
    <w:basedOn w:val="Normal"/>
    <w:next w:val="Corpodeltesto"/>
    <w:qFormat/>
    <w:pPr>
      <w:keepNext/>
      <w:spacing w:before="240" w:after="120"/>
    </w:pPr>
    <w:rPr>
      <w:rFonts w:ascii="Trebuchet MS" w:hAnsi="Trebuchet MS" w:eastAsia="Microsoft YaHei" w:cs="Mangal"/>
      <w:sz w:val="20"/>
      <w:szCs w:val="28"/>
    </w:rPr>
  </w:style>
  <w:style w:type="paragraph" w:styleId="Corpodeltesto">
    <w:name w:val="Body Text"/>
    <w:basedOn w:val="Normal"/>
    <w:pPr>
      <w:spacing w:lineRule="auto" w:line="288" w:before="0" w:after="140"/>
    </w:pPr>
    <w:rPr/>
  </w:style>
  <w:style w:type="paragraph" w:styleId="Elenco">
    <w:name w:val="List"/>
    <w:basedOn w:val="Normal"/>
    <w:pPr>
      <w:widowControl w:val="false"/>
      <w:bidi w:val="0"/>
      <w:jc w:val="left"/>
    </w:pPr>
    <w:rPr>
      <w:rFonts w:eastAsia="Trebuchet MS"/>
      <w:sz w:val="24"/>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customStyle="1">
    <w:name w:val="Indice"/>
    <w:basedOn w:val="Normal"/>
    <w:qFormat/>
    <w:pPr>
      <w:widowControl w:val="false"/>
      <w:suppressLineNumbers/>
      <w:bidi w:val="0"/>
      <w:jc w:val="left"/>
    </w:pPr>
    <w:rPr>
      <w:rFonts w:eastAsia="Trebuchet MS"/>
      <w:sz w:val="24"/>
    </w:rPr>
  </w:style>
  <w:style w:type="paragraph" w:styleId="Intestazione">
    <w:name w:val="Header"/>
    <w:basedOn w:val="Normal"/>
    <w:pPr>
      <w:keepNext/>
      <w:widowControl w:val="false"/>
      <w:bidi w:val="0"/>
      <w:spacing w:before="240" w:after="120"/>
      <w:jc w:val="left"/>
    </w:pPr>
    <w:rPr>
      <w:rFonts w:ascii="Liberation Sans" w:hAnsi="Liberation Sans" w:eastAsia="Microsoft YaHei"/>
      <w:sz w:val="28"/>
      <w:szCs w:val="28"/>
    </w:rPr>
  </w:style>
  <w:style w:type="paragraph" w:styleId="Titolo11" w:customStyle="1">
    <w:name w:val="Titolo1"/>
    <w:qFormat/>
    <w:pPr>
      <w:keepNext/>
      <w:widowControl w:val="false"/>
      <w:kinsoku w:val="true"/>
      <w:overflowPunct w:val="true"/>
      <w:autoSpaceDE w:val="true"/>
      <w:bidi w:val="0"/>
      <w:spacing w:before="240" w:after="120"/>
      <w:jc w:val="left"/>
    </w:pPr>
    <w:rPr>
      <w:rFonts w:ascii="Trebuchet MS" w:hAnsi="Trebuchet MS" w:eastAsia="Microsoft YaHei" w:cs="Mangal"/>
      <w:color w:val="00000A"/>
      <w:sz w:val="24"/>
      <w:szCs w:val="28"/>
      <w:lang w:val="it-IT" w:eastAsia="zh-CN" w:bidi="hi-IN"/>
    </w:rPr>
  </w:style>
  <w:style w:type="paragraph" w:styleId="Caption">
    <w:name w:val="caption"/>
    <w:qFormat/>
    <w:pPr>
      <w:widowControl w:val="false"/>
      <w:suppressLineNumbers/>
      <w:kinsoku w:val="true"/>
      <w:overflowPunct w:val="true"/>
      <w:autoSpaceDE w:val="true"/>
      <w:bidi w:val="0"/>
      <w:spacing w:before="120" w:after="120"/>
      <w:jc w:val="left"/>
    </w:pPr>
    <w:rPr>
      <w:rFonts w:ascii="Trebuchet MS" w:hAnsi="Trebuchet MS" w:eastAsia="Trebuchet MS" w:cs="Mangal"/>
      <w:i/>
      <w:iCs/>
      <w:color w:val="00000A"/>
      <w:sz w:val="24"/>
      <w:szCs w:val="24"/>
      <w:lang w:val="it-IT" w:eastAsia="zh-CN" w:bidi="hi-IN"/>
    </w:rPr>
  </w:style>
  <w:style w:type="paragraph" w:styleId="Standard" w:customStyle="1">
    <w:name w:val="Standard"/>
    <w:qFormat/>
    <w:pPr>
      <w:widowControl/>
      <w:suppressAutoHyphens w:val="true"/>
      <w:kinsoku w:val="true"/>
      <w:overflowPunct w:val="true"/>
      <w:autoSpaceDE w:val="true"/>
      <w:bidi w:val="0"/>
      <w:jc w:val="left"/>
    </w:pPr>
    <w:rPr>
      <w:rFonts w:ascii="Times New Roman" w:hAnsi="Times New Roman" w:eastAsia="Times New Roman" w:cs="Times New Roman"/>
      <w:color w:val="00000A"/>
      <w:sz w:val="24"/>
      <w:szCs w:val="24"/>
      <w:lang w:val="it-IT" w:eastAsia="zh-CN" w:bidi="ar-SA"/>
    </w:rPr>
  </w:style>
  <w:style w:type="paragraph" w:styleId="Textbody" w:customStyle="1">
    <w:name w:val="Text body"/>
    <w:basedOn w:val="Standard"/>
    <w:qFormat/>
    <w:pPr>
      <w:spacing w:lineRule="auto" w:line="360"/>
      <w:ind w:right="567" w:hanging="0"/>
      <w:jc w:val="both"/>
    </w:pPr>
    <w:rPr/>
  </w:style>
  <w:style w:type="paragraph" w:styleId="Intestazione1" w:customStyle="1">
    <w:name w:val="Intestazione1"/>
    <w:basedOn w:val="Standard"/>
    <w:qFormat/>
    <w:pPr>
      <w:keepNext/>
      <w:spacing w:before="240" w:after="120"/>
    </w:pPr>
    <w:rPr>
      <w:rFonts w:ascii="Arial" w:hAnsi="Arial" w:eastAsia="Microsoft YaHei" w:cs="Mangal"/>
      <w:sz w:val="28"/>
      <w:szCs w:val="28"/>
    </w:rPr>
  </w:style>
  <w:style w:type="paragraph" w:styleId="WWIntestazione" w:customStyle="1">
    <w:name w:val="WW-Intestazione"/>
    <w:basedOn w:val="Standard"/>
    <w:qFormat/>
    <w:pPr>
      <w:keepNext/>
      <w:spacing w:before="240" w:after="120"/>
    </w:pPr>
    <w:rPr>
      <w:rFonts w:ascii="Trebuchet MS" w:hAnsi="Trebuchet MS" w:eastAsia="Microsoft YaHei" w:cs="Mangal"/>
      <w:sz w:val="20"/>
      <w:szCs w:val="28"/>
    </w:rPr>
  </w:style>
  <w:style w:type="paragraph" w:styleId="Corpodeltesto21" w:customStyle="1">
    <w:name w:val="Corpo del testo 21"/>
    <w:basedOn w:val="Standard"/>
    <w:qFormat/>
    <w:pPr>
      <w:spacing w:lineRule="auto" w:line="360"/>
      <w:ind w:right="567" w:hanging="0"/>
      <w:jc w:val="both"/>
    </w:pPr>
    <w:rPr>
      <w:i/>
      <w:iCs/>
    </w:rPr>
  </w:style>
  <w:style w:type="paragraph" w:styleId="Corpodeltesto31" w:customStyle="1">
    <w:name w:val="Corpo del testo 31"/>
    <w:basedOn w:val="Standard"/>
    <w:qFormat/>
    <w:pPr>
      <w:tabs>
        <w:tab w:val="left" w:pos="144" w:leader="none"/>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s>
      <w:spacing w:lineRule="auto" w:line="360"/>
      <w:jc w:val="both"/>
    </w:pPr>
    <w:rPr>
      <w:i/>
      <w:iCs/>
    </w:rPr>
  </w:style>
  <w:style w:type="paragraph" w:styleId="Testodelblocco1" w:customStyle="1">
    <w:name w:val="Testo del blocco1"/>
    <w:basedOn w:val="Standard"/>
    <w:qFormat/>
    <w:pPr>
      <w:spacing w:lineRule="auto" w:line="360"/>
      <w:ind w:left="540" w:right="-82" w:hanging="0"/>
      <w:jc w:val="both"/>
    </w:pPr>
    <w:rPr/>
  </w:style>
  <w:style w:type="paragraph" w:styleId="Pidipagina">
    <w:name w:val="Footer"/>
    <w:basedOn w:val="Standard"/>
    <w:pPr>
      <w:tabs>
        <w:tab w:val="center" w:pos="4819" w:leader="none"/>
        <w:tab w:val="right" w:pos="9638" w:leader="none"/>
      </w:tabs>
    </w:pPr>
    <w:rPr/>
  </w:style>
  <w:style w:type="paragraph" w:styleId="Textbodyindent" w:customStyle="1">
    <w:name w:val="Text body indent"/>
    <w:basedOn w:val="Standard"/>
    <w:qFormat/>
    <w:pPr>
      <w:tabs>
        <w:tab w:val="left" w:pos="684" w:leader="none"/>
        <w:tab w:val="left" w:pos="1404" w:leader="none"/>
        <w:tab w:val="left" w:pos="2124" w:leader="none"/>
        <w:tab w:val="left" w:pos="2844" w:leader="none"/>
        <w:tab w:val="left" w:pos="3564" w:leader="none"/>
        <w:tab w:val="left" w:pos="4284" w:leader="none"/>
        <w:tab w:val="left" w:pos="5004" w:leader="none"/>
        <w:tab w:val="left" w:pos="5724" w:leader="none"/>
        <w:tab w:val="left" w:pos="6444" w:leader="none"/>
        <w:tab w:val="left" w:pos="7164" w:leader="none"/>
      </w:tabs>
      <w:spacing w:lineRule="auto" w:line="360"/>
      <w:ind w:left="540" w:hanging="0"/>
      <w:jc w:val="both"/>
    </w:pPr>
    <w:rPr/>
  </w:style>
  <w:style w:type="paragraph" w:styleId="Contenutocornice" w:customStyle="1">
    <w:name w:val="Contenuto cornice"/>
    <w:basedOn w:val="Standard"/>
    <w:qFormat/>
    <w:pPr/>
    <w:rPr/>
  </w:style>
  <w:style w:type="paragraph" w:styleId="Testonormale1" w:customStyle="1">
    <w:name w:val="Testo normale1"/>
    <w:basedOn w:val="Standard"/>
    <w:qFormat/>
    <w:pPr/>
    <w:rPr>
      <w:rFonts w:ascii="Courier New" w:hAnsi="Courier New" w:eastAsia="Courier New" w:cs="Courier New"/>
      <w:sz w:val="20"/>
      <w:szCs w:val="20"/>
    </w:rPr>
  </w:style>
  <w:style w:type="paragraph" w:styleId="Contenutotabella" w:customStyle="1">
    <w:name w:val="Contenuto tabella"/>
    <w:basedOn w:val="Standard"/>
    <w:qFormat/>
    <w:pPr>
      <w:suppressLineNumbers/>
    </w:pPr>
    <w:rPr/>
  </w:style>
  <w:style w:type="paragraph" w:styleId="Intestazionetabella" w:customStyle="1">
    <w:name w:val="Intestazione tabella"/>
    <w:basedOn w:val="Contenutotabella"/>
    <w:qFormat/>
    <w:pPr>
      <w:jc w:val="center"/>
    </w:pPr>
    <w:rPr>
      <w:b/>
      <w:bCs/>
    </w:rPr>
  </w:style>
  <w:style w:type="paragraph" w:styleId="Footnote" w:customStyle="1">
    <w:name w:val="Footnote"/>
    <w:basedOn w:val="Standard"/>
    <w:qFormat/>
    <w:pPr>
      <w:suppressLineNumbers/>
      <w:ind w:left="339" w:hanging="339"/>
    </w:pPr>
    <w:rPr>
      <w:sz w:val="20"/>
      <w:szCs w:val="20"/>
    </w:rPr>
  </w:style>
  <w:style w:type="paragraph" w:styleId="BalloonText">
    <w:name w:val="Balloon Text"/>
    <w:basedOn w:val="Standard"/>
    <w:qFormat/>
    <w:pPr/>
    <w:rPr>
      <w:rFonts w:ascii="Tahoma" w:hAnsi="Tahoma" w:eastAsia="Tahoma" w:cs="Tahoma"/>
      <w:sz w:val="16"/>
      <w:szCs w:val="16"/>
    </w:rPr>
  </w:style>
  <w:style w:type="paragraph" w:styleId="Titolotabella" w:customStyle="1">
    <w:name w:val="Titolo tabella"/>
    <w:basedOn w:val="Contenutotabella"/>
    <w:qFormat/>
    <w:pPr>
      <w:jc w:val="center"/>
    </w:pPr>
    <w:rPr>
      <w:b/>
      <w:bCs/>
    </w:rPr>
  </w:style>
  <w:style w:type="paragraph" w:styleId="Testocitato" w:customStyle="1">
    <w:name w:val="Testo citato"/>
    <w:basedOn w:val="Standard"/>
    <w:qFormat/>
    <w:pPr>
      <w:spacing w:before="0" w:after="283"/>
      <w:ind w:left="567" w:right="567" w:hanging="0"/>
    </w:pPr>
    <w:rPr/>
  </w:style>
  <w:style w:type="paragraph" w:styleId="Titoloprincipale">
    <w:name w:val="Title"/>
    <w:basedOn w:val="Titolo11"/>
    <w:qFormat/>
    <w:pPr>
      <w:jc w:val="center"/>
    </w:pPr>
    <w:rPr>
      <w:b/>
      <w:bCs/>
      <w:sz w:val="56"/>
      <w:szCs w:val="56"/>
    </w:rPr>
  </w:style>
  <w:style w:type="paragraph" w:styleId="Sottotitolo">
    <w:name w:val="Subtitle"/>
    <w:basedOn w:val="Titolo11"/>
    <w:qFormat/>
    <w:pPr>
      <w:spacing w:before="60" w:after="120"/>
      <w:jc w:val="center"/>
    </w:pPr>
    <w:rPr>
      <w:sz w:val="36"/>
      <w:szCs w:val="36"/>
    </w:rPr>
  </w:style>
  <w:style w:type="paragraph" w:styleId="Default" w:customStyle="1">
    <w:name w:val="Default"/>
    <w:qFormat/>
    <w:pPr>
      <w:widowControl/>
      <w:suppressAutoHyphens w:val="true"/>
      <w:kinsoku w:val="true"/>
      <w:overflowPunct w:val="true"/>
      <w:autoSpaceDE w:val="true"/>
      <w:bidi w:val="0"/>
      <w:jc w:val="left"/>
    </w:pPr>
    <w:rPr>
      <w:rFonts w:ascii="Calibri" w:hAnsi="Calibri" w:eastAsia="Calibri" w:cs="Calibri"/>
      <w:color w:val="000000"/>
      <w:sz w:val="24"/>
      <w:szCs w:val="24"/>
      <w:lang w:val="it-IT" w:eastAsia="zh-CN" w:bidi="hi-IN"/>
    </w:rPr>
  </w:style>
  <w:style w:type="paragraph" w:styleId="Testonormale2">
    <w:name w:val="Testo normale2"/>
    <w:basedOn w:val="Normal"/>
    <w:qFormat/>
    <w:pPr>
      <w:suppressAutoHyphens w:val="true"/>
    </w:pPr>
    <w:rPr>
      <w:rFonts w:ascii="Courier New" w:hAnsi="Courier New" w:cs="Courier New"/>
      <w:lang w:val="it-IT" w:eastAsia="zh-CN"/>
    </w:rPr>
  </w:style>
  <w:style w:type="paragraph" w:styleId="Fontecons1">
    <w:name w:val="fonte_cons1"/>
    <w:basedOn w:val="Normal"/>
    <w:qFormat/>
    <w:pPr>
      <w:widowControl w:val="false"/>
      <w:suppressAutoHyphens w:val="true"/>
    </w:pPr>
    <w:rPr>
      <w:rFonts w:ascii="Arial" w:hAnsi="Arial" w:eastAsia="SimSun;宋体" w:cs="Arial"/>
      <w:lang w:eastAsia="zh-CN"/>
    </w:rPr>
  </w:style>
  <w:style w:type="paragraph" w:styleId="Fontecons11">
    <w:name w:val="fontecons1"/>
    <w:basedOn w:val="Normal"/>
    <w:qFormat/>
    <w:pPr>
      <w:spacing w:before="280" w:after="280"/>
    </w:pPr>
    <w:rPr>
      <w:sz w:val="24"/>
      <w:szCs w:val="24"/>
      <w:lang w:eastAsia="zh-CN"/>
    </w:rPr>
  </w:style>
  <w:style w:type="paragraph" w:styleId="Style41">
    <w:name w:val="Style 4"/>
    <w:basedOn w:val="Normal"/>
    <w:qFormat/>
    <w:pPr>
      <w:widowControl w:val="false"/>
      <w:autoSpaceDE w:val="false"/>
      <w:ind w:left="1440" w:right="2736" w:hanging="0"/>
      <w:jc w:val="both"/>
    </w:pPr>
    <w:rPr>
      <w:rFonts w:ascii="Arial" w:hAnsi="Arial" w:cs="Arial"/>
    </w:rPr>
  </w:style>
  <w:style w:type="paragraph" w:styleId="Style11">
    <w:name w:val="Style 1"/>
    <w:basedOn w:val="Normal"/>
    <w:qFormat/>
    <w:pPr>
      <w:widowControl w:val="false"/>
      <w:autoSpaceDE w:val="false"/>
    </w:pPr>
    <w:rPr/>
  </w:style>
  <w:style w:type="paragraph" w:styleId="Corpodeltesto2">
    <w:name w:val="Corpo del testo 2"/>
    <w:basedOn w:val="Normal"/>
    <w:qFormat/>
    <w:pPr>
      <w:pBdr>
        <w:left w:val="single" w:sz="4" w:space="11" w:color="000000"/>
        <w:right w:val="single" w:sz="4" w:space="3" w:color="000000"/>
      </w:pBdr>
      <w:spacing w:lineRule="auto" w:line="360"/>
      <w:jc w:val="both"/>
    </w:pPr>
    <w:rPr>
      <w:sz w:val="24"/>
    </w:rPr>
  </w:style>
  <w:style w:type="paragraph" w:styleId="Mappadocumento">
    <w:name w:val="Mappa documento"/>
    <w:basedOn w:val="Normal"/>
    <w:qFormat/>
    <w:pPr/>
    <w:rPr>
      <w:rFonts w:ascii="Tahoma" w:hAnsi="Tahoma" w:cs="Tahoma"/>
    </w:rPr>
  </w:style>
  <w:style w:type="paragraph" w:styleId="Testofumetto">
    <w:name w:val="Testo fumetto"/>
    <w:basedOn w:val="Normal"/>
    <w:qFormat/>
    <w:pPr/>
    <w:rPr>
      <w:rFonts w:ascii="Tahoma" w:hAnsi="Tahoma" w:cs="Tahoma"/>
      <w:sz w:val="16"/>
      <w:szCs w:val="16"/>
    </w:rPr>
  </w:style>
  <w:style w:type="paragraph" w:styleId="Testonormale">
    <w:name w:val="Testo normale"/>
    <w:basedOn w:val="Normal"/>
    <w:qFormat/>
    <w:pPr/>
    <w:rPr>
      <w:rFonts w:ascii="Courier New" w:hAnsi="Courier New" w:cs="Courier New"/>
      <w:lang w:val="it-IT"/>
    </w:rPr>
  </w:style>
  <w:style w:type="numbering" w:styleId="NoList" w:default="1">
    <w:name w:val="No List"/>
    <w:uiPriority w:val="99"/>
    <w:semiHidden/>
    <w:unhideWhenUsed/>
    <w:qFormat/>
  </w:style>
  <w:style w:type="numbering" w:styleId="WW8Num1" w:customStyle="1">
    <w:name w:val="WW8Num1"/>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Application>LibreOffice/5.3.4.2$Windows_x86 LibreOffice_project/f82d347ccc0be322489bf7da61d7e4ad13fe2ff3</Application>
  <Pages>31</Pages>
  <Words>14734</Words>
  <Characters>86341</Characters>
  <CharactersWithSpaces>100619</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2018-11-26T15:45:00Z</dcterms:created>
  <dc:creator>vellag</dc:creator>
  <dc:description/>
  <dc:language>it-IT</dc:language>
  <cp:lastModifiedBy>Luca</cp:lastModifiedBy>
  <cp:lastPrinted>2018-11-27T16:24:00Z</cp:lastPrinted>
  <dcterms:modified xsi:type="dcterms:W3CDTF">2018-11-28T15:45:00Z</dcterms:modified>
  <cp:revision>14</cp:revision>
  <dc:subject/>
  <dc:title>COMUNE DI REGGIO EMILIA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