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60"/>
        <w:jc w:val="center"/>
        <w:rPr/>
      </w:pPr>
      <w:r>
        <w:rPr>
          <w:rFonts w:cs="Arial" w:ascii="Arial" w:hAnsi="Arial"/>
          <w:b/>
          <w:sz w:val="24"/>
          <w:szCs w:val="24"/>
        </w:rPr>
        <w:t>ALLEGATO 3</w:t>
      </w:r>
    </w:p>
    <w:p>
      <w:pPr>
        <w:pStyle w:val="Normal"/>
        <w:spacing w:lineRule="auto" w:line="360" w:before="0" w:after="60"/>
        <w:jc w:val="center"/>
        <w:rPr/>
      </w:pPr>
      <w:r>
        <w:rPr>
          <w:rFonts w:cs="Arial" w:ascii="Arial" w:hAnsi="Arial"/>
          <w:b/>
          <w:sz w:val="24"/>
          <w:szCs w:val="24"/>
        </w:rPr>
        <w:t>INFORMAZIONI DI DETTAGLIO RELATIVE  AL</w:t>
      </w:r>
    </w:p>
    <w:p>
      <w:pPr>
        <w:pStyle w:val="Normal"/>
        <w:spacing w:lineRule="auto" w:line="360" w:before="0" w:after="60"/>
        <w:jc w:val="center"/>
        <w:rPr/>
      </w:pPr>
      <w:r>
        <w:rPr>
          <w:rFonts w:cs="Arial" w:ascii="Arial" w:hAnsi="Arial"/>
          <w:b/>
          <w:sz w:val="24"/>
          <w:szCs w:val="24"/>
        </w:rPr>
        <w:t xml:space="preserve">PROGETTO (PR) N° 1 DI CUI ALL’ELENCO “A” </w:t>
      </w:r>
    </w:p>
    <w:tbl>
      <w:tblPr>
        <w:tblStyle w:val="Grigliatabella"/>
        <w:tblW w:w="9776" w:type="dxa"/>
        <w:jc w:val="left"/>
        <w:tblInd w:w="-221" w:type="dxa"/>
        <w:tblCellMar>
          <w:top w:w="0" w:type="dxa"/>
          <w:left w:w="108" w:type="dxa"/>
          <w:bottom w:w="0" w:type="dxa"/>
          <w:right w:w="108" w:type="dxa"/>
        </w:tblCellMar>
        <w:tblLook w:firstRow="1" w:noVBand="1" w:lastRow="0" w:firstColumn="1" w:lastColumn="0" w:noHBand="0" w:val="04a0"/>
      </w:tblPr>
      <w:tblGrid>
        <w:gridCol w:w="2880"/>
        <w:gridCol w:w="6674"/>
        <w:gridCol w:w="222"/>
      </w:tblGrid>
      <w:tr>
        <w:trPr/>
        <w:tc>
          <w:tcPr>
            <w:tcW w:w="9554" w:type="dxa"/>
            <w:gridSpan w:val="2"/>
            <w:tcBorders/>
            <w:shd w:color="auto" w:fill="auto" w:val="clear"/>
          </w:tcPr>
          <w:p>
            <w:pPr>
              <w:pStyle w:val="Normal"/>
              <w:tabs>
                <w:tab w:val="clear" w:pos="408"/>
                <w:tab w:val="left" w:pos="3600" w:leader="none"/>
              </w:tabs>
              <w:spacing w:lineRule="auto" w:line="360" w:before="120" w:after="120"/>
              <w:jc w:val="center"/>
              <w:rPr/>
            </w:pPr>
            <w:r>
              <w:rPr>
                <w:rFonts w:cs="Arial" w:ascii="Arial" w:hAnsi="Arial"/>
                <w:b/>
                <w:sz w:val="24"/>
                <w:szCs w:val="24"/>
              </w:rPr>
              <w:t>PROGETTO N° 1</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Ente beneficiario</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COMUNE DI REGGIO EMILIA</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spacing w:lineRule="auto" w:line="360" w:before="120" w:after="120"/>
              <w:jc w:val="both"/>
              <w:rPr/>
            </w:pPr>
            <w:r>
              <w:rPr>
                <w:rFonts w:cs="Arial" w:ascii="Arial" w:hAnsi="Arial"/>
                <w:color w:val="000000" w:themeColor="text1"/>
              </w:rPr>
              <w:t xml:space="preserve">Redazione di </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PR</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Denominazione PR</w:t>
            </w:r>
          </w:p>
        </w:tc>
        <w:tc>
          <w:tcPr>
            <w:tcW w:w="6674" w:type="dxa"/>
            <w:tcBorders/>
            <w:shd w:color="auto" w:fill="auto" w:val="clear"/>
          </w:tcPr>
          <w:p>
            <w:pPr>
              <w:pStyle w:val="Normal"/>
              <w:tabs>
                <w:tab w:val="clear" w:pos="408"/>
                <w:tab w:val="left" w:pos="1155" w:leader="none"/>
              </w:tabs>
              <w:spacing w:lineRule="auto" w:line="360" w:before="120" w:after="120"/>
              <w:jc w:val="both"/>
              <w:rPr/>
            </w:pPr>
            <w:r>
              <w:rPr>
                <w:rFonts w:eastAsia="Calibri" w:ascii="Arial" w:hAnsi="Arial"/>
                <w:b/>
                <w:color w:val="000000"/>
                <w:sz w:val="20"/>
              </w:rPr>
              <w:t>Progetto di fattibilità per la</w:t>
            </w:r>
            <w:r>
              <w:rPr>
                <w:rFonts w:eastAsia="Calibri" w:ascii="Arial" w:hAnsi="Arial"/>
                <w:b/>
                <w:color w:val="C9211E"/>
                <w:sz w:val="20"/>
              </w:rPr>
              <w:t xml:space="preserve"> </w:t>
            </w:r>
            <w:r>
              <w:rPr>
                <w:rFonts w:eastAsia="Calibri" w:ascii="Arial" w:hAnsi="Arial"/>
                <w:b/>
                <w:color w:val="000000"/>
                <w:sz w:val="20"/>
              </w:rPr>
              <w:t>soluzione dei nodi/punti critici in termini di incidentalità stradale</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CUP</w:t>
            </w:r>
          </w:p>
        </w:tc>
        <w:tc>
          <w:tcPr>
            <w:tcW w:w="6674" w:type="dxa"/>
            <w:tcBorders/>
            <w:shd w:color="auto" w:fill="auto" w:val="clear"/>
          </w:tcPr>
          <w:p>
            <w:pPr>
              <w:pStyle w:val="Normal"/>
              <w:tabs>
                <w:tab w:val="clear" w:pos="408"/>
                <w:tab w:val="left" w:pos="3600" w:leader="none"/>
              </w:tabs>
              <w:spacing w:lineRule="auto" w:line="360" w:before="120" w:after="120"/>
              <w:jc w:val="both"/>
              <w:rPr>
                <w:rFonts w:ascii="Arial" w:hAnsi="Arial" w:cs="Arial"/>
                <w:b w:val="false"/>
                <w:b w:val="false"/>
                <w:i w:val="false"/>
                <w:i w:val="false"/>
                <w:strike w:val="false"/>
                <w:dstrike w:val="false"/>
                <w:outline w:val="false"/>
                <w:shadow w:val="false"/>
                <w:color w:val="000000"/>
                <w:sz w:val="22"/>
                <w:szCs w:val="22"/>
                <w:u w:val="none"/>
                <w:em w:val="none"/>
              </w:rPr>
            </w:pPr>
            <w:r>
              <w:rPr>
                <w:rFonts w:cs="Arial" w:ascii="Arial" w:hAnsi="Arial"/>
                <w:b w:val="false"/>
                <w:i w:val="false"/>
                <w:strike w:val="false"/>
                <w:dstrike w:val="false"/>
                <w:outline w:val="false"/>
                <w:shadow w:val="false"/>
                <w:color w:val="000000"/>
                <w:sz w:val="22"/>
                <w:szCs w:val="22"/>
                <w:u w:val="none"/>
                <w:em w:val="none"/>
              </w:rPr>
              <w:t>J87H20001700001</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Data inizio procedura</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b/>
                <w:bCs/>
              </w:rPr>
              <w:t>01/06/2021</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color w:val="000000" w:themeColor="text1"/>
              </w:rPr>
              <w:t>Importo del PR</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40.000,00 €</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spacing w:lineRule="auto" w:line="360" w:before="120" w:after="120"/>
              <w:jc w:val="both"/>
              <w:rPr/>
            </w:pPr>
            <w:r>
              <w:rPr>
                <w:rFonts w:cs="Arial" w:ascii="Arial" w:hAnsi="Arial"/>
              </w:rPr>
              <w:t xml:space="preserve">Descrizione dell’oggetto del </w:t>
            </w:r>
            <w:r>
              <w:rPr>
                <w:rFonts w:cs="Arial" w:ascii="Arial" w:hAnsi="Arial"/>
                <w:color w:val="000000" w:themeColor="text1"/>
              </w:rPr>
              <w:t>PR</w:t>
            </w:r>
          </w:p>
        </w:tc>
        <w:tc>
          <w:tcPr>
            <w:tcW w:w="6674" w:type="dxa"/>
            <w:tcBorders/>
            <w:shd w:color="auto" w:fill="auto" w:val="clear"/>
          </w:tcPr>
          <w:p>
            <w:pPr>
              <w:pStyle w:val="Corpo"/>
              <w:spacing w:before="120" w:after="120"/>
              <w:jc w:val="both"/>
              <w:rPr>
                <w:sz w:val="20"/>
                <w:szCs w:val="20"/>
              </w:rPr>
            </w:pPr>
            <w:r>
              <w:rPr>
                <w:rFonts w:ascii="Arial" w:hAnsi="Arial"/>
                <w:sz w:val="20"/>
                <w:szCs w:val="20"/>
                <w:lang w:val="it-IT"/>
              </w:rPr>
              <w:t>Il PUMS, in tema di sicurezza stradale, conferma e rilancia le scelte e le strategie indicate  dal Piano Comunale della Sicurezza Stradale (PCSS) approvato dall’Amministrazione Comunale nel 2016. In particolare conferma il ruolo del Centro di Monitoraggio dell’Incidentalità Stradale quale struttura tecnica del comune preposta alla raccolta ed elaborazione dei dati e deputata alla prefigurazione di strategie ed interventi per la sicurezza stradale, alla valutazione e monitoraggio degli interventi realizzati e all’aggiornamento periodico del piano.</w:t>
            </w:r>
          </w:p>
          <w:p>
            <w:pPr>
              <w:pStyle w:val="Corpo"/>
              <w:bidi w:val="0"/>
              <w:spacing w:before="120" w:after="120"/>
              <w:ind w:left="0" w:right="0" w:hanging="0"/>
              <w:jc w:val="both"/>
              <w:rPr>
                <w:sz w:val="20"/>
                <w:szCs w:val="20"/>
              </w:rPr>
            </w:pPr>
            <w:r>
              <w:rPr>
                <w:rFonts w:ascii="Arial" w:hAnsi="Arial"/>
                <w:sz w:val="20"/>
                <w:szCs w:val="20"/>
                <w:lang w:val="it-IT"/>
              </w:rPr>
              <w:t>Il PCSS, secondo una logica di “Piano Processo”, definisce attività e criteri per individuare le criticità maggiori per la sicurezza, comprendenti comportamenti pericolosi ricorrenti, utenze maggiormente vulnerabili e zone o punti critici della rete stradale comunale, con l‘elaborazione di una “mappa di sintesi delle criticità maggiori”, desunta dalle analisi georeferenziata dei dati incidentogeni sulla base delle cause, dei soggetti coinvolti e dei luoghi. Sulla sua base il Piano, seguendo una logica ragionata per l’urbano e l’extraurbano, individua tre gruppi di intervento:</w:t>
            </w:r>
          </w:p>
          <w:p>
            <w:pPr>
              <w:pStyle w:val="Corpo"/>
              <w:numPr>
                <w:ilvl w:val="0"/>
                <w:numId w:val="1"/>
              </w:numPr>
              <w:bidi w:val="0"/>
              <w:spacing w:before="113" w:after="0"/>
              <w:ind w:left="720" w:right="0" w:hanging="360"/>
              <w:jc w:val="left"/>
              <w:rPr>
                <w:sz w:val="20"/>
                <w:szCs w:val="20"/>
              </w:rPr>
            </w:pPr>
            <w:r>
              <w:rPr>
                <w:rFonts w:ascii="Arial" w:hAnsi="Arial"/>
                <w:sz w:val="20"/>
                <w:szCs w:val="20"/>
                <w:lang w:val="it-IT"/>
              </w:rPr>
              <w:t>cause di incidente e comportamenti incidentogeni ricorrenti;</w:t>
            </w:r>
          </w:p>
          <w:p>
            <w:pPr>
              <w:pStyle w:val="Corpo"/>
              <w:numPr>
                <w:ilvl w:val="0"/>
                <w:numId w:val="1"/>
              </w:numPr>
              <w:bidi w:val="0"/>
              <w:spacing w:before="113" w:after="0"/>
              <w:ind w:left="720" w:right="0" w:hanging="360"/>
              <w:jc w:val="left"/>
              <w:rPr>
                <w:sz w:val="20"/>
                <w:szCs w:val="20"/>
              </w:rPr>
            </w:pPr>
            <w:r>
              <w:rPr>
                <w:rFonts w:ascii="Arial" w:hAnsi="Arial"/>
                <w:sz w:val="20"/>
                <w:szCs w:val="20"/>
                <w:lang w:val="it-IT"/>
              </w:rPr>
              <w:t>congruenza e rispetto dei limiti di velocità in ragione della tipologia di strada e caratteristiche del traffico;</w:t>
            </w:r>
          </w:p>
          <w:p>
            <w:pPr>
              <w:pStyle w:val="Corpo"/>
              <w:numPr>
                <w:ilvl w:val="0"/>
                <w:numId w:val="1"/>
              </w:numPr>
              <w:bidi w:val="0"/>
              <w:spacing w:before="113" w:after="113"/>
              <w:ind w:left="720" w:right="0" w:hanging="360"/>
              <w:jc w:val="left"/>
              <w:rPr>
                <w:sz w:val="20"/>
                <w:szCs w:val="20"/>
              </w:rPr>
            </w:pPr>
            <w:r>
              <w:rPr>
                <w:rFonts w:ascii="Arial" w:hAnsi="Arial"/>
                <w:sz w:val="20"/>
                <w:szCs w:val="20"/>
                <w:lang w:val="it-IT"/>
              </w:rPr>
              <w:t>concentrazione significativa di elementi critici per tipologia e luogo con focus specifico per la sicurezza dei pedoni e dell’utenza vulnerabile.</w:t>
            </w:r>
          </w:p>
          <w:p>
            <w:pPr>
              <w:pStyle w:val="Corpo"/>
              <w:bidi w:val="0"/>
              <w:spacing w:before="113" w:after="113"/>
              <w:ind w:left="0" w:right="0" w:hanging="0"/>
              <w:jc w:val="both"/>
              <w:rPr>
                <w:sz w:val="20"/>
                <w:szCs w:val="20"/>
              </w:rPr>
            </w:pPr>
            <w:r>
              <w:rPr>
                <w:rFonts w:ascii="Arial" w:hAnsi="Arial"/>
                <w:sz w:val="20"/>
                <w:szCs w:val="20"/>
                <w:lang w:val="it-IT"/>
              </w:rPr>
              <w:t>Lo studio di fattibilità individuerà le linee di azione da perseguire per contrastare i comportamenti pericolosi (distrazione, imperizia, infrazione, azzardo) più frequenti e potenzialmente rischiosi e le soluzioni progettuali più idonee per riconfigurare pozioni o punti della rete stradale al fine di ridurre al minimo gli effetti dannosi dei comportamenti pericolosi.</w:t>
            </w:r>
          </w:p>
        </w:tc>
        <w:tc>
          <w:tcPr>
            <w:tcW w:w="222" w:type="dxa"/>
            <w:tcBorders>
              <w:top w:val="nil"/>
              <w:left w:val="nil"/>
              <w:bottom w:val="nil"/>
              <w:right w:val="nil"/>
            </w:tcBorders>
            <w:shd w:color="auto" w:fill="auto" w:val="clear"/>
          </w:tcPr>
          <w:p>
            <w:pPr>
              <w:pStyle w:val="Normal"/>
              <w:spacing w:lineRule="auto" w:line="240" w:before="0" w:after="0"/>
              <w:rPr/>
            </w:pPr>
            <w:r>
              <w:rPr/>
            </w:r>
          </w:p>
        </w:tc>
      </w:tr>
    </w:tbl>
    <w:p>
      <w:pPr>
        <w:pStyle w:val="Normal"/>
        <w:spacing w:lineRule="auto" w:line="360" w:before="0" w:after="60"/>
        <w:jc w:val="center"/>
        <w:rPr>
          <w:rFonts w:ascii="Arial" w:hAnsi="Arial" w:cs="Arial"/>
          <w:b/>
          <w:b/>
          <w:sz w:val="24"/>
          <w:szCs w:val="24"/>
        </w:rPr>
      </w:pPr>
      <w:r>
        <w:rPr>
          <w:rFonts w:cs="Arial" w:ascii="Arial" w:hAnsi="Arial"/>
          <w:b/>
          <w:sz w:val="24"/>
          <w:szCs w:val="24"/>
        </w:rPr>
      </w:r>
      <w:r>
        <w:br w:type="page"/>
      </w:r>
    </w:p>
    <w:p>
      <w:pPr>
        <w:pStyle w:val="Normal"/>
        <w:spacing w:lineRule="auto" w:line="360" w:before="0" w:after="60"/>
        <w:jc w:val="center"/>
        <w:rPr/>
      </w:pPr>
      <w:r>
        <w:rPr>
          <w:rFonts w:cs="Arial" w:ascii="Arial" w:hAnsi="Arial"/>
          <w:b/>
          <w:sz w:val="24"/>
          <w:szCs w:val="24"/>
        </w:rPr>
        <w:t>INFORMAZIONI DI DETTAGLIO RELATIVE AL</w:t>
      </w:r>
    </w:p>
    <w:p>
      <w:pPr>
        <w:pStyle w:val="Normal"/>
        <w:spacing w:lineRule="auto" w:line="360" w:before="0" w:after="60"/>
        <w:jc w:val="center"/>
        <w:rPr/>
      </w:pPr>
      <w:r>
        <w:rPr>
          <w:rFonts w:cs="Arial" w:ascii="Arial" w:hAnsi="Arial"/>
          <w:b/>
          <w:sz w:val="24"/>
          <w:szCs w:val="24"/>
        </w:rPr>
        <w:t xml:space="preserve">PROGETTO (PR) N° 2 DI CUI ALL’ELENCO “A” </w:t>
      </w:r>
    </w:p>
    <w:tbl>
      <w:tblPr>
        <w:tblStyle w:val="Grigliatabella"/>
        <w:tblW w:w="9776" w:type="dxa"/>
        <w:jc w:val="left"/>
        <w:tblInd w:w="-113" w:type="dxa"/>
        <w:tblCellMar>
          <w:top w:w="0" w:type="dxa"/>
          <w:left w:w="108" w:type="dxa"/>
          <w:bottom w:w="0" w:type="dxa"/>
          <w:right w:w="108" w:type="dxa"/>
        </w:tblCellMar>
        <w:tblLook w:firstRow="1" w:noVBand="1" w:lastRow="0" w:firstColumn="1" w:lastColumn="0" w:noHBand="0" w:val="04a0"/>
      </w:tblPr>
      <w:tblGrid>
        <w:gridCol w:w="2924"/>
        <w:gridCol w:w="6808"/>
        <w:gridCol w:w="12"/>
        <w:gridCol w:w="32"/>
      </w:tblGrid>
      <w:tr>
        <w:trPr/>
        <w:tc>
          <w:tcPr>
            <w:tcW w:w="9744" w:type="dxa"/>
            <w:gridSpan w:val="3"/>
            <w:tcBorders/>
            <w:shd w:fill="auto" w:val="clear"/>
          </w:tcPr>
          <w:p>
            <w:pPr>
              <w:pStyle w:val="Normal"/>
              <w:tabs>
                <w:tab w:val="clear" w:pos="408"/>
                <w:tab w:val="left" w:pos="3600" w:leader="none"/>
              </w:tabs>
              <w:spacing w:lineRule="auto" w:line="360" w:before="120" w:after="120"/>
              <w:jc w:val="center"/>
              <w:rPr/>
            </w:pPr>
            <w:r>
              <w:rPr>
                <w:rFonts w:cs="Arial" w:ascii="Arial" w:hAnsi="Arial"/>
                <w:b/>
                <w:sz w:val="24"/>
                <w:szCs w:val="24"/>
              </w:rPr>
              <w:t>PROGETTO N° 2</w:t>
            </w:r>
          </w:p>
        </w:tc>
        <w:tc>
          <w:tcPr>
            <w:tcW w:w="32" w:type="dxa"/>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Ente beneficiario</w:t>
            </w:r>
          </w:p>
        </w:tc>
        <w:tc>
          <w:tcPr>
            <w:tcW w:w="6808"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COMUNE DI REGGIO EMILIA</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spacing w:lineRule="auto" w:line="360" w:before="120" w:after="120"/>
              <w:jc w:val="both"/>
              <w:rPr/>
            </w:pPr>
            <w:r>
              <w:rPr>
                <w:rFonts w:cs="Arial" w:ascii="Arial" w:hAnsi="Arial"/>
                <w:color w:val="000000" w:themeColor="text1"/>
              </w:rPr>
              <w:t xml:space="preserve">Redazione di </w:t>
            </w:r>
          </w:p>
        </w:tc>
        <w:tc>
          <w:tcPr>
            <w:tcW w:w="6808"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PR</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Denominazione PR</w:t>
            </w:r>
          </w:p>
        </w:tc>
        <w:tc>
          <w:tcPr>
            <w:tcW w:w="6808" w:type="dxa"/>
            <w:tcBorders/>
            <w:shd w:fill="auto" w:val="clear"/>
            <w:vAlign w:val="center"/>
          </w:tcPr>
          <w:p>
            <w:pPr>
              <w:pStyle w:val="Normal"/>
              <w:spacing w:lineRule="auto" w:line="240" w:before="0" w:after="200"/>
              <w:rPr/>
            </w:pPr>
            <w:r>
              <w:rPr>
                <w:rFonts w:cs="Arial" w:ascii="Arial" w:hAnsi="Arial"/>
                <w:b/>
                <w:bCs/>
                <w:i w:val="false"/>
                <w:strike w:val="false"/>
                <w:dstrike w:val="false"/>
                <w:outline w:val="false"/>
                <w:shadow w:val="false"/>
                <w:color w:val="000000"/>
                <w:sz w:val="20"/>
                <w:u w:val="none"/>
                <w:em w:val="none"/>
              </w:rPr>
              <w:t>Progetto di fattibilità per lo sviluppo della Sharing Mobility</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sz w:val="22"/>
                <w:szCs w:val="22"/>
              </w:rPr>
            </w:pPr>
            <w:r>
              <w:rPr>
                <w:rFonts w:cs="Arial" w:ascii="Arial" w:hAnsi="Arial"/>
                <w:sz w:val="22"/>
                <w:szCs w:val="22"/>
              </w:rPr>
              <w:t>CUP</w:t>
            </w:r>
          </w:p>
        </w:tc>
        <w:tc>
          <w:tcPr>
            <w:tcW w:w="6808" w:type="dxa"/>
            <w:tcBorders/>
            <w:shd w:fill="auto" w:val="clear"/>
          </w:tcPr>
          <w:p>
            <w:pPr>
              <w:pStyle w:val="Normal"/>
              <w:tabs>
                <w:tab w:val="clear" w:pos="408"/>
                <w:tab w:val="left" w:pos="3600" w:leader="none"/>
              </w:tabs>
              <w:spacing w:lineRule="auto" w:line="360" w:before="120" w:after="120"/>
              <w:jc w:val="both"/>
              <w:rPr>
                <w:rFonts w:ascii="Arial" w:hAnsi="Arial" w:cs="Arial"/>
                <w:sz w:val="22"/>
                <w:szCs w:val="22"/>
              </w:rPr>
            </w:pPr>
            <w:r>
              <w:rPr>
                <w:rFonts w:cs="Arial" w:ascii="Arial" w:hAnsi="Arial"/>
                <w:sz w:val="22"/>
                <w:szCs w:val="22"/>
              </w:rPr>
              <w:t>J87H20001710001</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Data inizio procedura</w:t>
            </w:r>
          </w:p>
        </w:tc>
        <w:tc>
          <w:tcPr>
            <w:tcW w:w="6808" w:type="dxa"/>
            <w:tcBorders/>
            <w:shd w:fill="auto" w:val="clear"/>
          </w:tcPr>
          <w:p>
            <w:pPr>
              <w:pStyle w:val="Normal"/>
              <w:tabs>
                <w:tab w:val="clear" w:pos="408"/>
                <w:tab w:val="left" w:pos="3600" w:leader="none"/>
              </w:tabs>
              <w:spacing w:lineRule="auto" w:line="360" w:before="120" w:after="120"/>
              <w:jc w:val="both"/>
              <w:rPr/>
            </w:pPr>
            <w:r>
              <w:rPr>
                <w:rFonts w:cs="Arial" w:ascii="Arial" w:hAnsi="Arial"/>
                <w:b/>
                <w:bCs/>
              </w:rPr>
              <w:t>01/06/2021</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color w:val="000000" w:themeColor="text1"/>
              </w:rPr>
              <w:t>Importo del PR</w:t>
            </w:r>
          </w:p>
        </w:tc>
        <w:tc>
          <w:tcPr>
            <w:tcW w:w="6808"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40.000,00 €</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spacing w:lineRule="auto" w:line="360" w:before="120" w:after="120"/>
              <w:jc w:val="both"/>
              <w:rPr/>
            </w:pPr>
            <w:r>
              <w:rPr>
                <w:rFonts w:cs="Arial" w:ascii="Arial" w:hAnsi="Arial"/>
              </w:rPr>
              <w:t xml:space="preserve">Descrizione dell’oggetto del </w:t>
            </w:r>
            <w:r>
              <w:rPr>
                <w:rFonts w:cs="Arial" w:ascii="Arial" w:hAnsi="Arial"/>
                <w:color w:val="000000" w:themeColor="text1"/>
              </w:rPr>
              <w:t>PR</w:t>
            </w:r>
          </w:p>
        </w:tc>
        <w:tc>
          <w:tcPr>
            <w:tcW w:w="6808" w:type="dxa"/>
            <w:tcBorders/>
            <w:shd w:fill="auto" w:val="clear"/>
          </w:tcPr>
          <w:p>
            <w:pPr>
              <w:pStyle w:val="Corpo"/>
              <w:spacing w:before="113" w:after="113"/>
              <w:jc w:val="both"/>
              <w:rPr>
                <w:sz w:val="20"/>
                <w:szCs w:val="20"/>
              </w:rPr>
            </w:pPr>
            <w:r>
              <w:rPr>
                <w:rFonts w:ascii="Arial" w:hAnsi="Arial"/>
                <w:sz w:val="20"/>
                <w:szCs w:val="20"/>
                <w:lang w:val="it-IT"/>
              </w:rPr>
              <w:t xml:space="preserve">La </w:t>
            </w:r>
            <w:r>
              <w:rPr>
                <w:rFonts w:ascii="Arial" w:hAnsi="Arial"/>
                <w:i/>
                <w:iCs/>
                <w:sz w:val="20"/>
                <w:szCs w:val="20"/>
                <w:lang w:val="it-IT"/>
              </w:rPr>
              <w:t>sharing mobility</w:t>
            </w:r>
            <w:r>
              <w:rPr>
                <w:rFonts w:ascii="Arial" w:hAnsi="Arial"/>
                <w:sz w:val="20"/>
                <w:szCs w:val="20"/>
                <w:lang w:val="it-IT"/>
              </w:rPr>
              <w:t xml:space="preserve"> negli ultimi anni si è dimostrata un settore in forte crescita e trasformazione, sia in termini di servizi di mobilità offerta (</w:t>
            </w:r>
            <w:r>
              <w:rPr>
                <w:rFonts w:ascii="Arial" w:hAnsi="Arial"/>
                <w:i/>
                <w:iCs/>
                <w:sz w:val="20"/>
                <w:szCs w:val="20"/>
                <w:lang w:val="it-IT"/>
              </w:rPr>
              <w:t>car sharing</w:t>
            </w:r>
            <w:r>
              <w:rPr>
                <w:rFonts w:ascii="Arial" w:hAnsi="Arial"/>
                <w:sz w:val="20"/>
                <w:szCs w:val="20"/>
                <w:lang w:val="it-IT"/>
              </w:rPr>
              <w:t xml:space="preserve">, scooter sharing, </w:t>
            </w:r>
            <w:r>
              <w:rPr>
                <w:rFonts w:ascii="Arial" w:hAnsi="Arial"/>
                <w:i/>
                <w:iCs/>
                <w:sz w:val="20"/>
                <w:szCs w:val="20"/>
                <w:lang w:val="it-IT"/>
              </w:rPr>
              <w:t>bike sharing</w:t>
            </w:r>
            <w:r>
              <w:rPr>
                <w:rFonts w:ascii="Arial" w:hAnsi="Arial"/>
                <w:sz w:val="20"/>
                <w:szCs w:val="20"/>
                <w:lang w:val="it-IT"/>
              </w:rPr>
              <w:t xml:space="preserve">, monopattini in </w:t>
            </w:r>
            <w:r>
              <w:rPr>
                <w:rFonts w:ascii="Arial" w:hAnsi="Arial"/>
                <w:i/>
                <w:iCs/>
                <w:sz w:val="20"/>
                <w:szCs w:val="20"/>
                <w:lang w:val="it-IT"/>
              </w:rPr>
              <w:t>sharing</w:t>
            </w:r>
            <w:r>
              <w:rPr>
                <w:rFonts w:ascii="Arial" w:hAnsi="Arial"/>
                <w:sz w:val="20"/>
                <w:szCs w:val="20"/>
                <w:lang w:val="it-IT"/>
              </w:rPr>
              <w:t xml:space="preserve">, etc) sia in termini di gestione del servizio; la digitalizzazione ha, infatti, introdotto rilevanti semplificazioni e ampliato notevolmente il numero degli utenti. A Reggio Emilia,  dal 2004 è presente un servizio di car sharing elettrico e dopo un periodo sperimentale, da luglio 2019 è attivo un sistema di </w:t>
            </w:r>
            <w:r>
              <w:rPr>
                <w:rFonts w:ascii="Arial" w:hAnsi="Arial"/>
                <w:i/>
                <w:iCs/>
                <w:sz w:val="20"/>
                <w:szCs w:val="20"/>
                <w:lang w:val="it-IT"/>
              </w:rPr>
              <w:t xml:space="preserve">bike sharing free floating </w:t>
            </w:r>
            <w:r>
              <w:rPr>
                <w:rFonts w:ascii="Arial" w:hAnsi="Arial"/>
                <w:sz w:val="20"/>
                <w:szCs w:val="20"/>
                <w:lang w:val="it-IT"/>
              </w:rPr>
              <w:t xml:space="preserve">che ha sostituito quello precedente di bike sharing a stazioni fisse. </w:t>
            </w:r>
          </w:p>
          <w:p>
            <w:pPr>
              <w:pStyle w:val="Corpo"/>
              <w:bidi w:val="0"/>
              <w:spacing w:before="113" w:after="113"/>
              <w:ind w:left="0" w:right="0" w:hanging="0"/>
              <w:jc w:val="both"/>
              <w:rPr>
                <w:sz w:val="20"/>
                <w:szCs w:val="20"/>
              </w:rPr>
            </w:pPr>
            <w:r>
              <w:rPr>
                <w:rFonts w:ascii="Arial" w:hAnsi="Arial"/>
                <w:sz w:val="20"/>
                <w:szCs w:val="20"/>
                <w:lang w:val="it-IT"/>
              </w:rPr>
              <w:t xml:space="preserve">Il PUMS, riconoscendo l’importante contributo della </w:t>
            </w:r>
            <w:r>
              <w:rPr>
                <w:rFonts w:ascii="Arial" w:hAnsi="Arial"/>
                <w:i/>
                <w:iCs/>
                <w:sz w:val="20"/>
                <w:szCs w:val="20"/>
                <w:lang w:val="it-IT"/>
              </w:rPr>
              <w:t>sharing mobility</w:t>
            </w:r>
            <w:r>
              <w:rPr>
                <w:rFonts w:ascii="Arial" w:hAnsi="Arial"/>
                <w:sz w:val="20"/>
                <w:szCs w:val="20"/>
                <w:lang w:val="it-IT"/>
              </w:rPr>
              <w:t xml:space="preserve">, sia nella forma di condivisione sequenziale dello stesso mezzo da più soggetti (sharing) sia nella forma di uso multiplo contestuale del singolo veicolo (pooling) e valutando con attenzione i limiti rappresentati dalla dimensione e concentrazione demografica della città, afferma l’intenzione di svilupparne ulteriormente le potenzialità. Lo studio, anche sulla base dei rapporti dell’Osservatorio Nazionale sulla Sharing Mobility, dovrà partire da un esame dello stato di fatto della sharing mobility con un’analisi di casi studio di città italiane che hanno già implementato servizi di mobilità condivisa, approfondendo anche le procedure amministrative utilizzate per l’affidamento dei servizi. La parte di analisi dovrà inoltre includere una sezione dedicata ai principali indicatori di utilizzo del servizio di bike sharing attivo a Reggio Emilia, e dei potenziali di </w:t>
            </w:r>
            <w:r>
              <w:rPr>
                <w:rFonts w:ascii="Arial" w:hAnsi="Arial"/>
                <w:i/>
                <w:iCs/>
                <w:sz w:val="20"/>
                <w:szCs w:val="20"/>
                <w:lang w:val="it-IT"/>
              </w:rPr>
              <w:t>car-pooling</w:t>
            </w:r>
            <w:r>
              <w:rPr>
                <w:rFonts w:ascii="Arial" w:hAnsi="Arial"/>
                <w:sz w:val="20"/>
                <w:szCs w:val="20"/>
                <w:lang w:val="it-IT"/>
              </w:rPr>
              <w:t xml:space="preserve"> anche attraverso l’individuazione di </w:t>
            </w:r>
            <w:r>
              <w:rPr>
                <w:rFonts w:ascii="Arial" w:hAnsi="Arial"/>
                <w:i/>
                <w:iCs/>
                <w:sz w:val="20"/>
                <w:szCs w:val="20"/>
                <w:lang w:val="it-IT"/>
              </w:rPr>
              <w:t>benchmark</w:t>
            </w:r>
            <w:r>
              <w:rPr>
                <w:rFonts w:ascii="Arial" w:hAnsi="Arial"/>
                <w:sz w:val="20"/>
                <w:szCs w:val="20"/>
                <w:lang w:val="it-IT"/>
              </w:rPr>
              <w:t>. Sulla base dei casi studio analizzati, lo studio dovrà individuare scenari di sviluppo per le diverse forme di sharing e pooling</w:t>
            </w:r>
            <w:r>
              <w:rPr>
                <w:rFonts w:ascii="Arial" w:hAnsi="Arial"/>
                <w:i/>
                <w:iCs/>
                <w:sz w:val="20"/>
                <w:szCs w:val="20"/>
                <w:lang w:val="it-IT"/>
              </w:rPr>
              <w:t xml:space="preserve">. </w:t>
            </w:r>
            <w:r>
              <w:rPr>
                <w:rFonts w:ascii="Arial" w:hAnsi="Arial"/>
                <w:sz w:val="20"/>
                <w:szCs w:val="20"/>
                <w:lang w:val="it-IT"/>
              </w:rPr>
              <w:t>Dovranno inoltre essere individuate misure fiscali, regolamentari e interventi sullo spazio pubblico per incentivare i servizi di mobilità condivisa. Nello specifico lo studio dovrà:</w:t>
            </w:r>
          </w:p>
          <w:p>
            <w:pPr>
              <w:pStyle w:val="Corpo"/>
              <w:numPr>
                <w:ilvl w:val="0"/>
                <w:numId w:val="2"/>
              </w:numPr>
              <w:bidi w:val="0"/>
              <w:spacing w:before="113" w:after="0"/>
              <w:ind w:left="360" w:right="0" w:hanging="360"/>
              <w:jc w:val="both"/>
              <w:rPr>
                <w:sz w:val="20"/>
                <w:szCs w:val="20"/>
              </w:rPr>
            </w:pPr>
            <w:r>
              <w:rPr>
                <w:rFonts w:ascii="Arial" w:hAnsi="Arial"/>
                <w:sz w:val="20"/>
                <w:szCs w:val="20"/>
                <w:lang w:val="it-IT"/>
              </w:rPr>
              <w:t>declinare, sulla base dei regolamenti attualmente in vigore nel Comune di Reggio Emilia, modifiche in grado di creare condizioni favorevoli alla diffusione della mobilità condivisa;</w:t>
            </w:r>
          </w:p>
          <w:p>
            <w:pPr>
              <w:pStyle w:val="Corpo"/>
              <w:numPr>
                <w:ilvl w:val="0"/>
                <w:numId w:val="2"/>
              </w:numPr>
              <w:bidi w:val="0"/>
              <w:spacing w:before="113" w:after="0"/>
              <w:ind w:left="360" w:right="0" w:hanging="360"/>
              <w:jc w:val="both"/>
              <w:rPr>
                <w:sz w:val="20"/>
                <w:szCs w:val="20"/>
              </w:rPr>
            </w:pPr>
            <w:r>
              <w:rPr>
                <w:rFonts w:ascii="Arial" w:hAnsi="Arial"/>
                <w:sz w:val="20"/>
                <w:szCs w:val="20"/>
                <w:lang w:val="it-IT"/>
              </w:rPr>
              <w:t>realizzare schede progettuali, anche con l’indicazione dei costi, di microhub dedicati alla mobilità condivisa;</w:t>
            </w:r>
          </w:p>
          <w:p>
            <w:pPr>
              <w:pStyle w:val="Corpo"/>
              <w:numPr>
                <w:ilvl w:val="0"/>
                <w:numId w:val="2"/>
              </w:numPr>
              <w:bidi w:val="0"/>
              <w:spacing w:before="113" w:after="113"/>
              <w:ind w:left="360" w:right="0" w:hanging="360"/>
              <w:jc w:val="both"/>
              <w:rPr>
                <w:sz w:val="20"/>
                <w:szCs w:val="20"/>
              </w:rPr>
            </w:pPr>
            <w:r>
              <w:rPr>
                <w:rFonts w:ascii="Arial" w:hAnsi="Arial"/>
                <w:sz w:val="20"/>
                <w:szCs w:val="20"/>
                <w:lang w:val="it-IT"/>
              </w:rPr>
              <w:t>individuare forme di incentivazione all’uso della mobilità condivisa da parte dei lavoratori.</w:t>
            </w:r>
          </w:p>
          <w:p>
            <w:pPr>
              <w:pStyle w:val="Corpo"/>
              <w:bidi w:val="0"/>
              <w:spacing w:before="113" w:after="113"/>
              <w:ind w:left="0" w:right="0" w:hanging="0"/>
              <w:jc w:val="both"/>
              <w:rPr>
                <w:sz w:val="20"/>
                <w:szCs w:val="20"/>
              </w:rPr>
            </w:pPr>
            <w:r>
              <w:rPr>
                <w:rFonts w:ascii="Arial" w:hAnsi="Arial"/>
                <w:sz w:val="20"/>
                <w:szCs w:val="20"/>
                <w:lang w:val="it-IT"/>
              </w:rPr>
              <w:t>Infine lo studio dovrà descrivere le modalità operative, secondo la normativa vigente del codice dei contratti, con le quali l’Amministrazione potrà attivare i servizi di mobilità condivisa, definire le caratteristiche tecniche e gestionali dei servizi, definire i criteri di incentivazione individuale per l’utilizzo dei servizi di mobilità condivisa.</w:t>
            </w:r>
          </w:p>
        </w:tc>
        <w:tc>
          <w:tcPr>
            <w:tcW w:w="44" w:type="dxa"/>
            <w:gridSpan w:val="2"/>
            <w:tcBorders>
              <w:top w:val="nil"/>
              <w:left w:val="nil"/>
              <w:bottom w:val="nil"/>
              <w:right w:val="nil"/>
            </w:tcBorders>
            <w:shd w:fill="auto" w:val="clear"/>
          </w:tcPr>
          <w:p>
            <w:pPr>
              <w:pStyle w:val="Normal"/>
              <w:spacing w:lineRule="auto" w:line="240" w:before="0" w:after="0"/>
              <w:rPr/>
            </w:pPr>
            <w:r>
              <w:rPr/>
            </w:r>
          </w:p>
        </w:tc>
      </w:tr>
    </w:tbl>
    <w:p>
      <w:pPr>
        <w:pStyle w:val="Normal"/>
        <w:spacing w:lineRule="auto" w:line="360" w:before="0" w:after="60"/>
        <w:jc w:val="center"/>
        <w:rPr>
          <w:rFonts w:ascii="Arial" w:hAnsi="Arial" w:cs="Arial"/>
          <w:b/>
          <w:b/>
          <w:sz w:val="24"/>
          <w:szCs w:val="24"/>
        </w:rPr>
      </w:pPr>
      <w:r>
        <w:rPr/>
      </w:r>
      <w:r>
        <w:br w:type="page"/>
      </w:r>
    </w:p>
    <w:p>
      <w:pPr>
        <w:pStyle w:val="Normal"/>
        <w:spacing w:lineRule="auto" w:line="360" w:before="0" w:after="60"/>
        <w:jc w:val="center"/>
        <w:rPr/>
      </w:pPr>
      <w:r>
        <w:rPr>
          <w:rFonts w:cs="Arial" w:ascii="Arial" w:hAnsi="Arial"/>
          <w:b/>
          <w:sz w:val="24"/>
          <w:szCs w:val="24"/>
        </w:rPr>
        <w:t xml:space="preserve">INFORMAZIONI DI DETTAGLIO RELATIVE AL </w:t>
      </w:r>
    </w:p>
    <w:p>
      <w:pPr>
        <w:pStyle w:val="Normal"/>
        <w:spacing w:lineRule="auto" w:line="360" w:before="0" w:after="60"/>
        <w:jc w:val="center"/>
        <w:rPr/>
      </w:pPr>
      <w:r>
        <w:rPr>
          <w:rFonts w:cs="Arial" w:ascii="Arial" w:hAnsi="Arial"/>
          <w:b/>
          <w:sz w:val="24"/>
          <w:szCs w:val="24"/>
        </w:rPr>
        <w:t xml:space="preserve">PROGETTO (PR) N° 3 DI CUI ALL’ELENCO “A” </w:t>
      </w:r>
    </w:p>
    <w:tbl>
      <w:tblPr>
        <w:tblStyle w:val="Grigliatabella"/>
        <w:tblW w:w="9776" w:type="dxa"/>
        <w:jc w:val="left"/>
        <w:tblInd w:w="-221" w:type="dxa"/>
        <w:tblCellMar>
          <w:top w:w="0" w:type="dxa"/>
          <w:left w:w="108" w:type="dxa"/>
          <w:bottom w:w="0" w:type="dxa"/>
          <w:right w:w="108" w:type="dxa"/>
        </w:tblCellMar>
        <w:tblLook w:firstRow="1" w:noVBand="1" w:lastRow="0" w:firstColumn="1" w:lastColumn="0" w:noHBand="0" w:val="04a0"/>
      </w:tblPr>
      <w:tblGrid>
        <w:gridCol w:w="2880"/>
        <w:gridCol w:w="6663"/>
        <w:gridCol w:w="11"/>
        <w:gridCol w:w="222"/>
      </w:tblGrid>
      <w:tr>
        <w:trPr/>
        <w:tc>
          <w:tcPr>
            <w:tcW w:w="9554" w:type="dxa"/>
            <w:gridSpan w:val="3"/>
            <w:tcBorders/>
            <w:shd w:color="auto" w:fill="auto" w:val="clear"/>
          </w:tcPr>
          <w:p>
            <w:pPr>
              <w:pStyle w:val="Normal"/>
              <w:tabs>
                <w:tab w:val="clear" w:pos="408"/>
                <w:tab w:val="left" w:pos="3600" w:leader="none"/>
              </w:tabs>
              <w:spacing w:lineRule="auto" w:line="360" w:before="120" w:after="120"/>
              <w:jc w:val="center"/>
              <w:rPr/>
            </w:pPr>
            <w:r>
              <w:rPr>
                <w:rFonts w:cs="Arial" w:ascii="Arial" w:hAnsi="Arial"/>
                <w:b/>
                <w:sz w:val="24"/>
                <w:szCs w:val="24"/>
              </w:rPr>
              <w:t>PROGETTO N° 3</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Ente beneficiario</w:t>
            </w:r>
          </w:p>
        </w:tc>
        <w:tc>
          <w:tcPr>
            <w:tcW w:w="6663"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COMUNE DI REGGIO EMILIA</w:t>
            </w:r>
          </w:p>
        </w:tc>
        <w:tc>
          <w:tcPr>
            <w:tcW w:w="233" w:type="dxa"/>
            <w:gridSpan w:val="2"/>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spacing w:lineRule="auto" w:line="360" w:before="120" w:after="120"/>
              <w:jc w:val="both"/>
              <w:rPr/>
            </w:pPr>
            <w:r>
              <w:rPr>
                <w:rFonts w:cs="Arial" w:ascii="Arial" w:hAnsi="Arial"/>
                <w:color w:val="000000" w:themeColor="text1"/>
              </w:rPr>
              <w:t xml:space="preserve">Redazione di </w:t>
            </w:r>
          </w:p>
        </w:tc>
        <w:tc>
          <w:tcPr>
            <w:tcW w:w="6663"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PR</w:t>
            </w:r>
          </w:p>
        </w:tc>
        <w:tc>
          <w:tcPr>
            <w:tcW w:w="233" w:type="dxa"/>
            <w:gridSpan w:val="2"/>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Denominazione PR</w:t>
            </w:r>
          </w:p>
        </w:tc>
        <w:tc>
          <w:tcPr>
            <w:tcW w:w="6663" w:type="dxa"/>
            <w:tcBorders/>
            <w:shd w:color="auto" w:fill="auto" w:val="clear"/>
          </w:tcPr>
          <w:p>
            <w:pPr>
              <w:pStyle w:val="Normal"/>
              <w:tabs>
                <w:tab w:val="clear" w:pos="408"/>
                <w:tab w:val="left" w:pos="1155" w:leader="none"/>
              </w:tabs>
              <w:spacing w:lineRule="auto" w:line="360" w:before="120" w:after="120"/>
              <w:jc w:val="both"/>
              <w:rPr/>
            </w:pPr>
            <w:r>
              <w:rPr>
                <w:rFonts w:ascii="Arial" w:hAnsi="Arial"/>
                <w:b/>
                <w:color w:val="000000"/>
                <w:sz w:val="20"/>
              </w:rPr>
              <w:t>Progetto di fattibilità per lo sviluppo di una App unica dei servizi di mobilità locale</w:t>
            </w:r>
          </w:p>
        </w:tc>
        <w:tc>
          <w:tcPr>
            <w:tcW w:w="233" w:type="dxa"/>
            <w:gridSpan w:val="2"/>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CUP</w:t>
            </w:r>
          </w:p>
        </w:tc>
        <w:tc>
          <w:tcPr>
            <w:tcW w:w="6663" w:type="dxa"/>
            <w:tcBorders/>
            <w:shd w:color="auto" w:fill="auto" w:val="clear"/>
          </w:tcPr>
          <w:p>
            <w:pPr>
              <w:pStyle w:val="Normal"/>
              <w:tabs>
                <w:tab w:val="clear" w:pos="408"/>
                <w:tab w:val="left" w:pos="3600" w:leader="none"/>
              </w:tabs>
              <w:spacing w:lineRule="auto" w:line="360" w:before="120" w:after="120"/>
              <w:jc w:val="both"/>
              <w:rPr>
                <w:rFonts w:ascii="Arial" w:hAnsi="Arial" w:cs="Arial"/>
                <w:b w:val="false"/>
                <w:b w:val="false"/>
                <w:i w:val="false"/>
                <w:i w:val="false"/>
                <w:strike w:val="false"/>
                <w:dstrike w:val="false"/>
                <w:outline w:val="false"/>
                <w:shadow w:val="false"/>
                <w:color w:val="000000"/>
                <w:sz w:val="22"/>
                <w:szCs w:val="22"/>
                <w:u w:val="none"/>
                <w:em w:val="none"/>
              </w:rPr>
            </w:pPr>
            <w:r>
              <w:rPr>
                <w:rFonts w:cs="Arial" w:ascii="Arial" w:hAnsi="Arial"/>
                <w:b w:val="false"/>
                <w:i w:val="false"/>
                <w:strike w:val="false"/>
                <w:dstrike w:val="false"/>
                <w:outline w:val="false"/>
                <w:shadow w:val="false"/>
                <w:color w:val="000000"/>
                <w:sz w:val="22"/>
                <w:szCs w:val="22"/>
                <w:u w:val="none"/>
                <w:em w:val="none"/>
              </w:rPr>
              <w:t>J81B20000390001</w:t>
            </w:r>
          </w:p>
        </w:tc>
        <w:tc>
          <w:tcPr>
            <w:tcW w:w="233" w:type="dxa"/>
            <w:gridSpan w:val="2"/>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Data inizio procedura</w:t>
            </w:r>
          </w:p>
        </w:tc>
        <w:tc>
          <w:tcPr>
            <w:tcW w:w="6663"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b/>
                <w:bCs/>
              </w:rPr>
              <w:t>01/06/2021</w:t>
            </w:r>
          </w:p>
        </w:tc>
        <w:tc>
          <w:tcPr>
            <w:tcW w:w="233" w:type="dxa"/>
            <w:gridSpan w:val="2"/>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color w:val="000000" w:themeColor="text1"/>
              </w:rPr>
              <w:t>Importo del PR</w:t>
            </w:r>
          </w:p>
        </w:tc>
        <w:tc>
          <w:tcPr>
            <w:tcW w:w="6663"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28.000,00 €</w:t>
            </w:r>
          </w:p>
        </w:tc>
        <w:tc>
          <w:tcPr>
            <w:tcW w:w="233" w:type="dxa"/>
            <w:gridSpan w:val="2"/>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spacing w:lineRule="auto" w:line="360" w:before="120" w:after="120"/>
              <w:jc w:val="both"/>
              <w:rPr/>
            </w:pPr>
            <w:r>
              <w:rPr>
                <w:rFonts w:cs="Arial" w:ascii="Arial" w:hAnsi="Arial"/>
              </w:rPr>
              <w:t xml:space="preserve">Descrizione dell’oggetto del </w:t>
            </w:r>
            <w:r>
              <w:rPr>
                <w:rFonts w:cs="Arial" w:ascii="Arial" w:hAnsi="Arial"/>
                <w:color w:val="000000" w:themeColor="text1"/>
              </w:rPr>
              <w:t>PR</w:t>
            </w:r>
          </w:p>
        </w:tc>
        <w:tc>
          <w:tcPr>
            <w:tcW w:w="6663" w:type="dxa"/>
            <w:tcBorders/>
            <w:shd w:color="auto" w:fill="auto" w:val="clear"/>
          </w:tcPr>
          <w:p>
            <w:pPr>
              <w:pStyle w:val="Normal"/>
              <w:spacing w:lineRule="auto" w:line="360" w:before="120" w:after="120"/>
              <w:jc w:val="both"/>
              <w:rPr>
                <w:color w:themeColor="text1"/>
                <w:sz w:val="20"/>
                <w:szCs w:val="20"/>
              </w:rPr>
            </w:pPr>
            <w:r>
              <w:rPr>
                <w:rFonts w:cs="Arial" w:ascii="Arial" w:hAnsi="Arial"/>
                <w:color w:val="000000" w:themeColor="text1"/>
                <w:sz w:val="20"/>
                <w:szCs w:val="20"/>
              </w:rPr>
              <w:t>I</w:t>
            </w:r>
            <w:r>
              <w:rPr>
                <w:rFonts w:eastAsia="Calibri" w:cs="Arial" w:ascii="Arial" w:hAnsi="Arial"/>
                <w:color w:val="000000" w:themeColor="text1"/>
                <w:kern w:val="0"/>
                <w:sz w:val="20"/>
                <w:szCs w:val="20"/>
                <w:lang w:val="it-IT" w:eastAsia="en-US" w:bidi="ar-SA"/>
              </w:rPr>
              <w:t>l PUMS intende favorire ed accelerare l’utilizzo delle nuove tecnologie disponibili ritenendole fondamentali per rendere più sostenibile ed efficiente la mobilità urbana.</w:t>
            </w:r>
          </w:p>
          <w:p>
            <w:pPr>
              <w:pStyle w:val="Normal"/>
              <w:spacing w:lineRule="auto" w:line="360" w:before="120" w:after="120"/>
              <w:jc w:val="both"/>
              <w:rPr/>
            </w:pPr>
            <w:r>
              <w:rPr>
                <w:rFonts w:eastAsia="Calibri" w:cs="Arial" w:ascii="Arial" w:hAnsi="Arial"/>
                <w:color w:val="000000" w:themeColor="text1"/>
                <w:kern w:val="0"/>
                <w:sz w:val="20"/>
                <w:szCs w:val="20"/>
                <w:lang w:val="it-IT" w:eastAsia="en-US" w:bidi="ar-SA"/>
              </w:rPr>
              <w:t>Attualmente non esistono piattaforme che integrino i diversi operatori presenti sul mercato locale, italiano ed europeo, per cui diviene necessario valutare possibilità di colloquio, implementazione ed integrazione di sistemi esistenti per facilitare all’utente la fruizione dei servizi in una visione unitari</w:t>
            </w:r>
            <w:r>
              <w:rPr>
                <w:rFonts w:eastAsia="Calibri" w:cs="Arial" w:ascii="Arial" w:hAnsi="Arial"/>
                <w:strike w:val="false"/>
                <w:dstrike w:val="false"/>
                <w:color w:val="000000" w:themeColor="text1"/>
                <w:kern w:val="0"/>
                <w:sz w:val="20"/>
                <w:szCs w:val="20"/>
                <w:lang w:val="it-IT" w:eastAsia="en-US" w:bidi="ar-SA"/>
              </w:rPr>
              <w:t xml:space="preserve">a. </w:t>
            </w:r>
            <w:r>
              <w:rPr>
                <w:rFonts w:eastAsia="Calibri" w:cs="Arial" w:ascii="Arial" w:hAnsi="Arial"/>
                <w:color w:val="000000" w:themeColor="text1"/>
                <w:kern w:val="0"/>
                <w:sz w:val="20"/>
                <w:szCs w:val="20"/>
                <w:lang w:val="it-IT" w:eastAsia="en-US" w:bidi="ar-SA"/>
              </w:rPr>
              <w:t>Occorre pertanto approntare uno studio che effettui:</w:t>
            </w:r>
          </w:p>
          <w:p>
            <w:pPr>
              <w:pStyle w:val="Normal"/>
              <w:spacing w:lineRule="auto" w:line="360" w:before="120" w:after="120"/>
              <w:jc w:val="both"/>
              <w:rPr>
                <w:rFonts w:ascii="Arial" w:hAnsi="Arial" w:eastAsia="Calibri" w:cs="Arial"/>
                <w:color w:val="000000" w:themeColor="text1"/>
                <w:kern w:val="0"/>
                <w:sz w:val="20"/>
                <w:szCs w:val="20"/>
                <w:lang w:val="it-IT" w:eastAsia="en-US" w:bidi="ar-SA"/>
              </w:rPr>
            </w:pPr>
            <w:r>
              <w:rPr>
                <w:rFonts w:eastAsia="Calibri" w:cs="Arial" w:ascii="Arial" w:hAnsi="Arial"/>
                <w:color w:val="000000" w:themeColor="text1"/>
                <w:kern w:val="0"/>
                <w:sz w:val="20"/>
                <w:szCs w:val="20"/>
                <w:lang w:val="it-IT" w:eastAsia="en-US" w:bidi="ar-SA"/>
              </w:rPr>
              <w:t>- una ricognizione delle app disponibili e delle loro caratteristiche sui temi della mobilità locale fornite da Regione, soggetti gestori dei servizi di mobilità o terze parti (sosta a pagamento, accessi alle zone ZTL, Infomobilità TPL e orari, servizi a chiamata, Bike e Vehicle Sharing, percorsi ciclabili, Smart Parking, mobilità intermodale, ecc.)</w:t>
            </w:r>
          </w:p>
          <w:p>
            <w:pPr>
              <w:pStyle w:val="Normal"/>
              <w:spacing w:lineRule="auto" w:line="360" w:before="120" w:after="120"/>
              <w:jc w:val="both"/>
              <w:rPr>
                <w:rFonts w:ascii="Arial" w:hAnsi="Arial" w:eastAsia="Calibri" w:cs="Arial"/>
                <w:color w:val="000000" w:themeColor="text1"/>
                <w:kern w:val="0"/>
                <w:sz w:val="20"/>
                <w:szCs w:val="20"/>
                <w:lang w:val="it-IT" w:eastAsia="en-US" w:bidi="ar-SA"/>
              </w:rPr>
            </w:pPr>
            <w:r>
              <w:rPr>
                <w:rFonts w:eastAsia="Calibri" w:cs="Arial" w:ascii="Arial" w:hAnsi="Arial"/>
                <w:color w:val="000000" w:themeColor="text1"/>
                <w:kern w:val="0"/>
                <w:sz w:val="20"/>
                <w:szCs w:val="20"/>
                <w:lang w:val="it-IT" w:eastAsia="en-US" w:bidi="ar-SA"/>
              </w:rPr>
              <w:t>- la valutazione dei nuovi bisogni in relazione ai servizi ed ai dati esistenti e ai nuovi in fase di implementazione</w:t>
            </w:r>
          </w:p>
          <w:p>
            <w:pPr>
              <w:pStyle w:val="Normal"/>
              <w:spacing w:lineRule="auto" w:line="360" w:before="120" w:after="120"/>
              <w:jc w:val="both"/>
              <w:rPr>
                <w:rFonts w:ascii="Arial" w:hAnsi="Arial" w:eastAsia="Calibri" w:cs="Arial"/>
                <w:color w:val="000000" w:themeColor="text1"/>
                <w:kern w:val="0"/>
                <w:sz w:val="20"/>
                <w:szCs w:val="20"/>
                <w:lang w:val="it-IT" w:eastAsia="en-US" w:bidi="ar-SA"/>
              </w:rPr>
            </w:pPr>
            <w:r>
              <w:rPr>
                <w:rFonts w:eastAsia="Calibri" w:cs="Arial" w:ascii="Arial" w:hAnsi="Arial"/>
                <w:color w:val="000000" w:themeColor="text1"/>
                <w:kern w:val="0"/>
                <w:sz w:val="20"/>
                <w:szCs w:val="20"/>
                <w:lang w:val="it-IT" w:eastAsia="en-US" w:bidi="ar-SA"/>
              </w:rPr>
              <w:t>- l’applicazione di tecnologie “emergenti” (IOT, NFC, ecc.)</w:t>
            </w:r>
          </w:p>
          <w:p>
            <w:pPr>
              <w:pStyle w:val="Normal"/>
              <w:spacing w:lineRule="auto" w:line="360" w:before="120" w:after="120"/>
              <w:jc w:val="both"/>
              <w:rPr>
                <w:sz w:val="20"/>
                <w:szCs w:val="20"/>
              </w:rPr>
            </w:pPr>
            <w:r>
              <w:rPr>
                <w:rFonts w:eastAsia="Calibri" w:cs="Arial" w:ascii="Arial" w:hAnsi="Arial"/>
                <w:color w:val="000000" w:themeColor="text1"/>
                <w:kern w:val="0"/>
                <w:sz w:val="20"/>
                <w:szCs w:val="20"/>
                <w:lang w:val="it-IT" w:eastAsia="en-US" w:bidi="ar-SA"/>
              </w:rPr>
              <w:t>Lo studio dovrà in particolare approfondire la fattibilità e la struttura di una APP che faciliti e renda smart l’utilizzo delle velostazioni, velopark e bikebox previste dal PUMS e in fase di realizzazione dai parte dei ciclisti. Infatti garantire un efficace sistema per la sosta delle biciclette è un elemento importante anche per accrescere l’utilizzo della bicicletta in città non solo dai residenti reggiani, ma anche da pendolari e da perso</w:t>
            </w:r>
            <w:r>
              <w:rPr>
                <w:rFonts w:cs="Arial" w:ascii="Arial" w:hAnsi="Arial"/>
                <w:color w:val="000000" w:themeColor="text1"/>
                <w:sz w:val="20"/>
                <w:szCs w:val="20"/>
              </w:rPr>
              <w:t>ne che provengono dall’esterno.</w:t>
            </w:r>
          </w:p>
        </w:tc>
        <w:tc>
          <w:tcPr>
            <w:tcW w:w="233" w:type="dxa"/>
            <w:gridSpan w:val="2"/>
            <w:tcBorders>
              <w:top w:val="nil"/>
              <w:left w:val="nil"/>
              <w:bottom w:val="nil"/>
              <w:right w:val="nil"/>
            </w:tcBorders>
            <w:shd w:color="auto" w:fill="auto" w:val="clear"/>
          </w:tcPr>
          <w:p>
            <w:pPr>
              <w:pStyle w:val="Normal"/>
              <w:spacing w:lineRule="auto" w:line="240" w:before="0" w:after="0"/>
              <w:rPr/>
            </w:pPr>
            <w:r>
              <w:rPr/>
            </w:r>
          </w:p>
        </w:tc>
      </w:tr>
    </w:tbl>
    <w:p>
      <w:pPr>
        <w:pStyle w:val="Normal"/>
        <w:spacing w:lineRule="auto" w:line="360" w:before="0" w:after="60"/>
        <w:jc w:val="center"/>
        <w:rPr/>
      </w:pPr>
      <w:r>
        <w:rPr>
          <w:rFonts w:cs="Arial" w:ascii="Arial" w:hAnsi="Arial"/>
          <w:b/>
          <w:sz w:val="24"/>
          <w:szCs w:val="24"/>
        </w:rPr>
        <w:t xml:space="preserve">INFORMAZIONI DI DETTAGLIO RELATIVE AL </w:t>
      </w:r>
    </w:p>
    <w:p>
      <w:pPr>
        <w:pStyle w:val="Normal"/>
        <w:spacing w:lineRule="auto" w:line="360" w:before="0" w:after="60"/>
        <w:jc w:val="center"/>
        <w:rPr/>
      </w:pPr>
      <w:r>
        <w:rPr>
          <w:rFonts w:cs="Arial" w:ascii="Arial" w:hAnsi="Arial"/>
          <w:b/>
          <w:sz w:val="24"/>
          <w:szCs w:val="24"/>
        </w:rPr>
        <w:t xml:space="preserve">PROGETTO (MON) N° 4 DI CUI ALL’ELENCO “A” </w:t>
      </w:r>
    </w:p>
    <w:tbl>
      <w:tblPr>
        <w:tblStyle w:val="Grigliatabella"/>
        <w:tblW w:w="9776" w:type="dxa"/>
        <w:jc w:val="left"/>
        <w:tblInd w:w="-221" w:type="dxa"/>
        <w:tblCellMar>
          <w:top w:w="0" w:type="dxa"/>
          <w:left w:w="108" w:type="dxa"/>
          <w:bottom w:w="0" w:type="dxa"/>
          <w:right w:w="108" w:type="dxa"/>
        </w:tblCellMar>
        <w:tblLook w:firstRow="1" w:noVBand="1" w:lastRow="0" w:firstColumn="1" w:lastColumn="0" w:noHBand="0" w:val="04a0"/>
      </w:tblPr>
      <w:tblGrid>
        <w:gridCol w:w="2880"/>
        <w:gridCol w:w="6674"/>
        <w:gridCol w:w="222"/>
      </w:tblGrid>
      <w:tr>
        <w:trPr/>
        <w:tc>
          <w:tcPr>
            <w:tcW w:w="9554" w:type="dxa"/>
            <w:gridSpan w:val="2"/>
            <w:tcBorders/>
            <w:shd w:color="auto" w:fill="auto" w:val="clear"/>
          </w:tcPr>
          <w:p>
            <w:pPr>
              <w:pStyle w:val="Normal"/>
              <w:tabs>
                <w:tab w:val="clear" w:pos="408"/>
                <w:tab w:val="left" w:pos="3600" w:leader="none"/>
              </w:tabs>
              <w:spacing w:lineRule="auto" w:line="360" w:before="120" w:after="120"/>
              <w:jc w:val="center"/>
              <w:rPr/>
            </w:pPr>
            <w:r>
              <w:rPr>
                <w:rFonts w:cs="Arial" w:ascii="Arial" w:hAnsi="Arial"/>
                <w:b/>
                <w:sz w:val="24"/>
                <w:szCs w:val="24"/>
              </w:rPr>
              <w:t>PROGETTO N° 4</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Ente beneficiario</w:t>
            </w:r>
          </w:p>
        </w:tc>
        <w:tc>
          <w:tcPr>
            <w:tcW w:w="6674" w:type="dxa"/>
            <w:tcBorders/>
            <w:shd w:color="auto" w:fill="auto" w:val="clear"/>
          </w:tcPr>
          <w:p>
            <w:pPr>
              <w:pStyle w:val="Normal"/>
              <w:tabs>
                <w:tab w:val="clear" w:pos="408"/>
                <w:tab w:val="left" w:pos="3600" w:leader="none"/>
              </w:tabs>
              <w:spacing w:lineRule="auto" w:line="360" w:before="120" w:after="120"/>
              <w:jc w:val="both"/>
              <w:rPr>
                <w:rFonts w:ascii="Arial" w:hAnsi="Arial" w:cs="Arial"/>
              </w:rPr>
            </w:pPr>
            <w:r>
              <w:rPr>
                <w:rFonts w:cs="Arial" w:ascii="Arial" w:hAnsi="Arial"/>
              </w:rPr>
              <w:t>COMUNE DI REGGIO EMILIA</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spacing w:lineRule="auto" w:line="360" w:before="120" w:after="120"/>
              <w:jc w:val="both"/>
              <w:rPr/>
            </w:pPr>
            <w:r>
              <w:rPr>
                <w:rFonts w:cs="Arial" w:ascii="Arial" w:hAnsi="Arial"/>
                <w:color w:val="000000" w:themeColor="text1"/>
              </w:rPr>
              <w:t xml:space="preserve">Redazione di </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Monitoraggio</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Denominazione MON</w:t>
            </w:r>
          </w:p>
        </w:tc>
        <w:tc>
          <w:tcPr>
            <w:tcW w:w="6674" w:type="dxa"/>
            <w:tcBorders/>
            <w:shd w:color="auto" w:fill="auto" w:val="clear"/>
          </w:tcPr>
          <w:p>
            <w:pPr>
              <w:pStyle w:val="Normal"/>
              <w:tabs>
                <w:tab w:val="clear" w:pos="408"/>
                <w:tab w:val="left" w:pos="1155" w:leader="none"/>
              </w:tabs>
              <w:spacing w:lineRule="auto" w:line="360" w:before="120" w:after="120"/>
              <w:jc w:val="both"/>
              <w:rPr/>
            </w:pPr>
            <w:r>
              <w:rPr>
                <w:rFonts w:ascii="Arial" w:hAnsi="Arial"/>
                <w:b/>
                <w:color w:val="000000"/>
                <w:sz w:val="20"/>
              </w:rPr>
              <w:t>Monitoraggio trasportistico del PUMS – 2° stralcio</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CUP</w:t>
            </w:r>
          </w:p>
        </w:tc>
        <w:tc>
          <w:tcPr>
            <w:tcW w:w="6674" w:type="dxa"/>
            <w:tcBorders/>
            <w:shd w:color="auto" w:fill="auto" w:val="clear"/>
          </w:tcPr>
          <w:p>
            <w:pPr>
              <w:pStyle w:val="Normal"/>
              <w:tabs>
                <w:tab w:val="clear" w:pos="408"/>
                <w:tab w:val="left" w:pos="3600" w:leader="none"/>
              </w:tabs>
              <w:spacing w:lineRule="auto" w:line="360" w:before="120" w:after="120"/>
              <w:jc w:val="both"/>
              <w:rPr>
                <w:rFonts w:ascii="Arial" w:hAnsi="Arial" w:cs="Arial"/>
                <w:b w:val="false"/>
                <w:b w:val="false"/>
                <w:i w:val="false"/>
                <w:i w:val="false"/>
                <w:strike w:val="false"/>
                <w:dstrike w:val="false"/>
                <w:outline w:val="false"/>
                <w:shadow w:val="false"/>
                <w:color w:val="000000"/>
                <w:sz w:val="22"/>
                <w:szCs w:val="22"/>
                <w:u w:val="none"/>
                <w:em w:val="none"/>
              </w:rPr>
            </w:pPr>
            <w:r>
              <w:rPr>
                <w:rFonts w:cs="Arial" w:ascii="Arial" w:hAnsi="Arial"/>
                <w:b w:val="false"/>
                <w:i w:val="false"/>
                <w:strike w:val="false"/>
                <w:dstrike w:val="false"/>
                <w:outline w:val="false"/>
                <w:shadow w:val="false"/>
                <w:color w:val="000000"/>
                <w:sz w:val="22"/>
                <w:szCs w:val="22"/>
                <w:u w:val="none"/>
                <w:em w:val="none"/>
              </w:rPr>
              <w:t>J89D20000110001</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Data inizio procedura</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b/>
                <w:bCs/>
              </w:rPr>
              <w:t>01/06/2021</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color w:val="000000" w:themeColor="text1"/>
              </w:rPr>
              <w:t>Importo del MON</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20.000,00 €</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spacing w:lineRule="auto" w:line="360" w:before="120" w:after="120"/>
              <w:jc w:val="both"/>
              <w:rPr/>
            </w:pPr>
            <w:r>
              <w:rPr>
                <w:rFonts w:cs="Arial" w:ascii="Arial" w:hAnsi="Arial"/>
              </w:rPr>
              <w:t xml:space="preserve">Descrizione dell’oggetto del </w:t>
            </w:r>
            <w:r>
              <w:rPr>
                <w:rFonts w:cs="Arial" w:ascii="Arial" w:hAnsi="Arial"/>
                <w:color w:val="000000" w:themeColor="text1"/>
              </w:rPr>
              <w:t>MON</w:t>
            </w:r>
          </w:p>
        </w:tc>
        <w:tc>
          <w:tcPr>
            <w:tcW w:w="6674" w:type="dxa"/>
            <w:tcBorders/>
            <w:shd w:color="auto" w:fill="auto" w:val="clear"/>
          </w:tcPr>
          <w:p>
            <w:pPr>
              <w:pStyle w:val="Normal"/>
              <w:spacing w:lineRule="auto" w:line="360" w:before="120" w:after="120"/>
              <w:jc w:val="both"/>
              <w:rPr>
                <w:color w:val="auto"/>
              </w:rPr>
            </w:pPr>
            <w:r>
              <w:rPr>
                <w:rFonts w:eastAsia="Times New Roman" w:cs="Arial" w:ascii="Arial" w:hAnsi="Arial"/>
                <w:color w:val="auto"/>
                <w:sz w:val="20"/>
                <w:szCs w:val="20"/>
                <w:lang w:eastAsia="it-IT"/>
              </w:rPr>
              <w:t xml:space="preserve">Il progetto è in continuità e prosecuzione di quello previsto dalla scheda n.7 </w:t>
            </w:r>
            <w:r>
              <w:rPr>
                <w:rFonts w:eastAsia="Times New Roman" w:cs="Arial" w:ascii="Arial" w:hAnsi="Arial"/>
                <w:b w:val="false"/>
                <w:bCs w:val="false"/>
                <w:color w:val="auto"/>
                <w:sz w:val="20"/>
                <w:szCs w:val="20"/>
                <w:lang w:eastAsia="it-IT"/>
              </w:rPr>
              <w:t>“</w:t>
            </w:r>
            <w:r>
              <w:rPr>
                <w:rFonts w:eastAsia="Times New Roman" w:cs="Arial" w:ascii="Arial" w:hAnsi="Arial"/>
                <w:b w:val="false"/>
                <w:bCs w:val="false"/>
                <w:color w:val="000000"/>
                <w:sz w:val="20"/>
                <w:szCs w:val="20"/>
                <w:lang w:eastAsia="it-IT"/>
              </w:rPr>
              <w:t>Monitoraggio trasportistico del PUMS – 1° stralcio”</w:t>
            </w:r>
            <w:r>
              <w:rPr>
                <w:rFonts w:eastAsia="Times New Roman" w:cs="Arial" w:ascii="Arial" w:hAnsi="Arial"/>
                <w:b w:val="false"/>
                <w:bCs w:val="false"/>
                <w:color w:val="auto"/>
                <w:sz w:val="20"/>
                <w:szCs w:val="20"/>
                <w:lang w:eastAsia="it-IT"/>
              </w:rPr>
              <w:t>, già finanziato ai sensi del DM 171/2019 e in fase di affidamento.</w:t>
            </w:r>
          </w:p>
          <w:p>
            <w:pPr>
              <w:pStyle w:val="Normal"/>
              <w:spacing w:lineRule="auto" w:line="360" w:before="120" w:after="120"/>
              <w:jc w:val="both"/>
              <w:rPr>
                <w:color w:val="auto"/>
              </w:rPr>
            </w:pPr>
            <w:r>
              <w:rPr>
                <w:rFonts w:eastAsia="Times New Roman" w:cs="Arial" w:ascii="Arial" w:hAnsi="Arial"/>
                <w:b w:val="false"/>
                <w:bCs w:val="false"/>
                <w:color w:val="auto"/>
                <w:sz w:val="20"/>
                <w:szCs w:val="20"/>
                <w:lang w:eastAsia="it-IT"/>
              </w:rPr>
              <w:t>Lo studio intende approfondire quanto individuato dal progetto complessivo di monitoraggio dei principali indicatori trasportistici,  mettendo in campo le ulteriori attività necessarie per la prosecuzione del monitoraggio stesso.</w:t>
            </w:r>
          </w:p>
          <w:p>
            <w:pPr>
              <w:pStyle w:val="Normal"/>
              <w:spacing w:lineRule="auto" w:line="360" w:before="120" w:after="120"/>
              <w:jc w:val="both"/>
              <w:rPr>
                <w:color w:val="auto"/>
              </w:rPr>
            </w:pPr>
            <w:r>
              <w:rPr>
                <w:rFonts w:eastAsia="Times New Roman" w:cs="Arial" w:ascii="Arial" w:hAnsi="Arial"/>
                <w:color w:val="auto"/>
                <w:sz w:val="20"/>
                <w:szCs w:val="20"/>
                <w:lang w:eastAsia="it-IT"/>
              </w:rPr>
              <w:t>Una particolare attenzione andrà posta alla stima dello share modale, che è l’indicatore chiave per il monitoraggio dei PUMS e dell’efficacia delle misure proposte.</w:t>
            </w:r>
          </w:p>
          <w:p>
            <w:pPr>
              <w:pStyle w:val="Normal"/>
              <w:spacing w:lineRule="auto" w:line="360" w:before="120" w:after="120"/>
              <w:jc w:val="both"/>
              <w:rPr>
                <w:sz w:val="20"/>
                <w:szCs w:val="20"/>
              </w:rPr>
            </w:pPr>
            <w:r>
              <w:rPr>
                <w:rFonts w:eastAsia="Times New Roman" w:cs="Arial" w:ascii="Arial" w:hAnsi="Arial"/>
                <w:color w:val="auto"/>
                <w:sz w:val="20"/>
                <w:szCs w:val="20"/>
                <w:lang w:eastAsia="it-IT"/>
              </w:rPr>
              <w:t>Stante la non univocità di modalità di stima di questo indicatore e l’impossibilità/difficoltà di utilizzo dei sistemi tradizionali (dati censimento, metodo CATI,…) lo studio dovrà individuare nuove  modalità d’indagine per una valutazione corretta dello shrae modale.</w:t>
            </w:r>
          </w:p>
        </w:tc>
        <w:tc>
          <w:tcPr>
            <w:tcW w:w="222" w:type="dxa"/>
            <w:tcBorders>
              <w:top w:val="nil"/>
              <w:left w:val="nil"/>
              <w:bottom w:val="nil"/>
              <w:right w:val="nil"/>
            </w:tcBorders>
            <w:shd w:color="auto" w:fill="auto" w:val="clear"/>
          </w:tcPr>
          <w:p>
            <w:pPr>
              <w:pStyle w:val="Normal"/>
              <w:spacing w:lineRule="auto" w:line="240" w:before="0" w:after="0"/>
              <w:rPr/>
            </w:pPr>
            <w:r>
              <w:rPr/>
            </w:r>
          </w:p>
        </w:tc>
      </w:tr>
    </w:tbl>
    <w:p>
      <w:pPr>
        <w:pStyle w:val="Normal"/>
        <w:rPr>
          <w:rFonts w:ascii="Arial" w:hAnsi="Arial" w:cs="Arial"/>
          <w:b/>
          <w:b/>
          <w:sz w:val="24"/>
          <w:szCs w:val="24"/>
        </w:rPr>
      </w:pPr>
      <w:r>
        <w:rPr>
          <w:rFonts w:cs="Arial" w:ascii="Arial" w:hAnsi="Arial"/>
          <w:b/>
          <w:sz w:val="24"/>
          <w:szCs w:val="24"/>
        </w:rPr>
      </w:r>
      <w:r>
        <w:br w:type="page"/>
      </w:r>
    </w:p>
    <w:p>
      <w:pPr>
        <w:pStyle w:val="Normal"/>
        <w:spacing w:lineRule="auto" w:line="360" w:before="0" w:after="60"/>
        <w:jc w:val="center"/>
        <w:rPr/>
      </w:pPr>
      <w:r>
        <w:rPr>
          <w:rFonts w:cs="Arial" w:ascii="Arial" w:hAnsi="Arial"/>
          <w:b/>
          <w:sz w:val="24"/>
          <w:szCs w:val="24"/>
        </w:rPr>
        <w:t xml:space="preserve">INFORMAZIONI DI DETTAGLIO RELATIVE AL </w:t>
      </w:r>
    </w:p>
    <w:p>
      <w:pPr>
        <w:pStyle w:val="Normal"/>
        <w:spacing w:lineRule="auto" w:line="360" w:before="0" w:after="60"/>
        <w:jc w:val="center"/>
        <w:rPr/>
      </w:pPr>
      <w:r>
        <w:rPr>
          <w:rFonts w:cs="Arial" w:ascii="Arial" w:hAnsi="Arial"/>
          <w:b/>
          <w:sz w:val="24"/>
          <w:szCs w:val="24"/>
        </w:rPr>
        <w:t xml:space="preserve">PROGETTO (PR) N° 5 DI CUI ALL’ELENCO “A” </w:t>
      </w:r>
    </w:p>
    <w:tbl>
      <w:tblPr>
        <w:tblStyle w:val="Grigliatabella"/>
        <w:tblW w:w="9776" w:type="dxa"/>
        <w:jc w:val="left"/>
        <w:tblInd w:w="-221" w:type="dxa"/>
        <w:tblCellMar>
          <w:top w:w="0" w:type="dxa"/>
          <w:left w:w="108" w:type="dxa"/>
          <w:bottom w:w="0" w:type="dxa"/>
          <w:right w:w="108" w:type="dxa"/>
        </w:tblCellMar>
        <w:tblLook w:firstRow="1" w:noVBand="1" w:lastRow="0" w:firstColumn="1" w:lastColumn="0" w:noHBand="0" w:val="04a0"/>
      </w:tblPr>
      <w:tblGrid>
        <w:gridCol w:w="2880"/>
        <w:gridCol w:w="6674"/>
        <w:gridCol w:w="222"/>
      </w:tblGrid>
      <w:tr>
        <w:trPr/>
        <w:tc>
          <w:tcPr>
            <w:tcW w:w="9554" w:type="dxa"/>
            <w:gridSpan w:val="2"/>
            <w:tcBorders/>
            <w:shd w:color="auto" w:fill="auto" w:val="clear"/>
          </w:tcPr>
          <w:p>
            <w:pPr>
              <w:pStyle w:val="Normal"/>
              <w:tabs>
                <w:tab w:val="clear" w:pos="408"/>
                <w:tab w:val="left" w:pos="3600" w:leader="none"/>
              </w:tabs>
              <w:spacing w:lineRule="auto" w:line="360" w:before="120" w:after="120"/>
              <w:jc w:val="center"/>
              <w:rPr/>
            </w:pPr>
            <w:r>
              <w:rPr>
                <w:rFonts w:cs="Arial" w:ascii="Arial" w:hAnsi="Arial"/>
                <w:b/>
                <w:sz w:val="24"/>
                <w:szCs w:val="24"/>
              </w:rPr>
              <w:t>P</w:t>
            </w:r>
            <w:r>
              <w:rPr>
                <w:rFonts w:cs="Arial" w:ascii="Arial" w:hAnsi="Arial"/>
                <w:b/>
                <w:sz w:val="24"/>
                <w:szCs w:val="24"/>
              </w:rPr>
              <w:t>ROGETTO</w:t>
            </w:r>
            <w:r>
              <w:rPr>
                <w:rFonts w:cs="Arial" w:ascii="Arial" w:hAnsi="Arial"/>
                <w:b/>
                <w:sz w:val="24"/>
                <w:szCs w:val="24"/>
              </w:rPr>
              <w:t xml:space="preserve"> N° 5</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Ente beneficiario</w:t>
            </w:r>
          </w:p>
        </w:tc>
        <w:tc>
          <w:tcPr>
            <w:tcW w:w="6674" w:type="dxa"/>
            <w:tcBorders/>
            <w:shd w:color="auto" w:fill="auto" w:val="clear"/>
          </w:tcPr>
          <w:p>
            <w:pPr>
              <w:pStyle w:val="Normal"/>
              <w:tabs>
                <w:tab w:val="clear" w:pos="408"/>
                <w:tab w:val="left" w:pos="3600" w:leader="none"/>
              </w:tabs>
              <w:spacing w:lineRule="auto" w:line="360" w:before="120" w:after="120"/>
              <w:jc w:val="both"/>
              <w:rPr>
                <w:rFonts w:ascii="Arial" w:hAnsi="Arial" w:cs="Arial"/>
              </w:rPr>
            </w:pPr>
            <w:r>
              <w:rPr>
                <w:rFonts w:cs="Arial" w:ascii="Arial" w:hAnsi="Arial"/>
              </w:rPr>
              <w:t>COMUNE DI REGGIO EMILIA</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spacing w:lineRule="auto" w:line="360" w:before="120" w:after="120"/>
              <w:jc w:val="both"/>
              <w:rPr/>
            </w:pPr>
            <w:r>
              <w:rPr>
                <w:rFonts w:cs="Arial" w:ascii="Arial" w:hAnsi="Arial"/>
                <w:color w:val="000000" w:themeColor="text1"/>
              </w:rPr>
              <w:t xml:space="preserve">Redazione di </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PR</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Denominazione PR</w:t>
            </w:r>
          </w:p>
        </w:tc>
        <w:tc>
          <w:tcPr>
            <w:tcW w:w="6674" w:type="dxa"/>
            <w:tcBorders/>
            <w:shd w:color="auto" w:fill="auto" w:val="clear"/>
          </w:tcPr>
          <w:p>
            <w:pPr>
              <w:pStyle w:val="Normal"/>
              <w:tabs>
                <w:tab w:val="clear" w:pos="408"/>
                <w:tab w:val="left" w:pos="1155" w:leader="none"/>
              </w:tabs>
              <w:spacing w:lineRule="auto" w:line="360" w:before="120" w:after="120"/>
              <w:jc w:val="both"/>
              <w:rPr/>
            </w:pPr>
            <w:r>
              <w:rPr>
                <w:rFonts w:cs="Arial" w:ascii="Arial" w:hAnsi="Arial"/>
                <w:b/>
                <w:color w:val="000000"/>
                <w:sz w:val="20"/>
              </w:rPr>
              <w:t>Progetto di fattibilità del sistema dell’accessibilità sostenibile delle merci al Centro Storico</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CUP</w:t>
            </w:r>
          </w:p>
        </w:tc>
        <w:tc>
          <w:tcPr>
            <w:tcW w:w="6674" w:type="dxa"/>
            <w:tcBorders/>
            <w:shd w:color="auto" w:fill="auto" w:val="clear"/>
          </w:tcPr>
          <w:p>
            <w:pPr>
              <w:pStyle w:val="Normal"/>
              <w:tabs>
                <w:tab w:val="clear" w:pos="408"/>
                <w:tab w:val="left" w:pos="3600" w:leader="none"/>
              </w:tabs>
              <w:spacing w:lineRule="auto" w:line="360" w:before="120" w:after="120"/>
              <w:jc w:val="both"/>
              <w:rPr>
                <w:rFonts w:ascii="Arial" w:hAnsi="Arial" w:cs="Arial"/>
                <w:sz w:val="22"/>
                <w:szCs w:val="22"/>
              </w:rPr>
            </w:pPr>
            <w:r>
              <w:rPr>
                <w:rFonts w:cs="Arial" w:ascii="Arial" w:hAnsi="Arial"/>
                <w:sz w:val="22"/>
                <w:szCs w:val="22"/>
              </w:rPr>
              <w:t>J87H20001720001</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Data inizio procedura</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b/>
                <w:bCs/>
              </w:rPr>
              <w:t>01/06/2021</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color w:val="000000" w:themeColor="text1"/>
              </w:rPr>
              <w:t>Importo del PR</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28.000,00 €</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spacing w:lineRule="auto" w:line="360" w:before="120" w:after="120"/>
              <w:jc w:val="both"/>
              <w:rPr/>
            </w:pPr>
            <w:r>
              <w:rPr>
                <w:rFonts w:cs="Arial" w:ascii="Arial" w:hAnsi="Arial"/>
              </w:rPr>
              <w:t>Descrizione</w:t>
            </w:r>
            <w:bookmarkStart w:id="0" w:name="_GoBack"/>
            <w:bookmarkEnd w:id="0"/>
            <w:r>
              <w:rPr>
                <w:rFonts w:cs="Arial" w:ascii="Arial" w:hAnsi="Arial"/>
              </w:rPr>
              <w:t xml:space="preserve"> dell’oggetto del </w:t>
            </w:r>
            <w:r>
              <w:rPr>
                <w:rFonts w:cs="Arial" w:ascii="Arial" w:hAnsi="Arial"/>
                <w:color w:val="000000" w:themeColor="text1"/>
              </w:rPr>
              <w:t>PR</w:t>
            </w:r>
          </w:p>
        </w:tc>
        <w:tc>
          <w:tcPr>
            <w:tcW w:w="6674" w:type="dxa"/>
            <w:tcBorders/>
            <w:shd w:color="auto" w:fill="auto" w:val="clear"/>
          </w:tcPr>
          <w:p>
            <w:pPr>
              <w:pStyle w:val="Corpo"/>
              <w:spacing w:before="0" w:after="0"/>
              <w:jc w:val="both"/>
              <w:rPr>
                <w:sz w:val="20"/>
                <w:szCs w:val="20"/>
              </w:rPr>
            </w:pPr>
            <w:r>
              <w:rPr>
                <w:rFonts w:ascii="Arial" w:hAnsi="Arial"/>
                <w:sz w:val="20"/>
                <w:szCs w:val="20"/>
                <w:lang w:val="it-IT"/>
              </w:rPr>
              <w:t xml:space="preserve">ll PUMS intende sviluppare ed implementare un sistema di gestione della logistica urbana tale da ridurre l’accesso di veicoli inquinanti e ingombranti in centro storico, consolidandone la vocazione di polo attrattore anche commerciale. Una delle misure previste dal Piano in questo ambito è la realizzazione di una nuova piattaforma logistica (CDU) nel quartiere Gardenia, nelle immediate vicinanze del centro storico ed in diretta connessione con la grande viabilità principalmente a servizio dei commercianti del Centro storico. </w:t>
            </w:r>
          </w:p>
          <w:p>
            <w:pPr>
              <w:pStyle w:val="Corpo"/>
              <w:bidi w:val="0"/>
              <w:spacing w:before="0" w:after="0"/>
              <w:ind w:left="0" w:right="0" w:hanging="0"/>
              <w:jc w:val="both"/>
              <w:rPr>
                <w:sz w:val="20"/>
                <w:szCs w:val="20"/>
              </w:rPr>
            </w:pPr>
            <w:r>
              <w:rPr>
                <w:rFonts w:ascii="Arial" w:hAnsi="Arial"/>
                <w:sz w:val="20"/>
                <w:szCs w:val="20"/>
                <w:lang w:val="it-IT"/>
              </w:rPr>
              <w:t>L’accessibilità al Centro Storico è previsto da viale Regina Elena e via F.lli Manfredi, per i quali il PUMS prevede una riqualificazione con un progetto denominato</w:t>
            </w:r>
            <w:r>
              <w:rPr>
                <w:rFonts w:ascii="Arial" w:hAnsi="Arial"/>
                <w:i/>
                <w:iCs/>
                <w:sz w:val="20"/>
                <w:szCs w:val="20"/>
                <w:lang w:val="it-IT"/>
              </w:rPr>
              <w:t xml:space="preserve"> “Tappeto Arancione”, </w:t>
            </w:r>
            <w:r>
              <w:rPr>
                <w:rFonts w:ascii="Arial" w:hAnsi="Arial"/>
                <w:sz w:val="20"/>
                <w:szCs w:val="20"/>
                <w:lang w:val="it-IT"/>
              </w:rPr>
              <w:t>per consentire una circolazione dei mezzi efficace e in sicurezza.</w:t>
            </w:r>
          </w:p>
          <w:p>
            <w:pPr>
              <w:pStyle w:val="Corpo"/>
              <w:bidi w:val="0"/>
              <w:spacing w:before="0" w:after="0"/>
              <w:ind w:left="0" w:right="0" w:hanging="0"/>
              <w:jc w:val="both"/>
              <w:rPr>
                <w:sz w:val="20"/>
                <w:szCs w:val="20"/>
              </w:rPr>
            </w:pPr>
            <w:r>
              <w:rPr>
                <w:rFonts w:ascii="Arial" w:hAnsi="Arial"/>
                <w:sz w:val="20"/>
                <w:szCs w:val="20"/>
                <w:lang w:val="it-IT"/>
              </w:rPr>
              <w:t>L’asse è un tratto di viabilità che presenta importanti volumi di traffico, sia veicolari che di mezzi pubblico, in relazione anche al suo collegamento diretto con la grande viabilità e con il casello autostradale e sul quale insistono alcuni grandi attrattori (centro commerciale e parcheggio Zucchi). La prevista realizzazione del CDU determinerà un ulteriore ruolo strategico di questa tratta viabilistica per la distribuzione delle merci “dell’ultimo miglio” Inoltre sulla stessa direttrice è presente un parcheggio scambiatore a servizio del centro storico, nel quale il PUMS prevede al realizzazione di una velostazione.</w:t>
            </w:r>
          </w:p>
          <w:p>
            <w:pPr>
              <w:pStyle w:val="Corpo"/>
              <w:bidi w:val="0"/>
              <w:spacing w:before="0" w:after="0"/>
              <w:ind w:left="0" w:right="0" w:hanging="0"/>
              <w:jc w:val="both"/>
              <w:rPr>
                <w:sz w:val="20"/>
                <w:szCs w:val="20"/>
              </w:rPr>
            </w:pPr>
            <w:r>
              <w:rPr>
                <w:rFonts w:ascii="Arial" w:hAnsi="Arial"/>
                <w:sz w:val="20"/>
                <w:szCs w:val="20"/>
                <w:lang w:val="it-IT"/>
              </w:rPr>
              <w:t xml:space="preserve">Lo studio, recuperando le analisi esistenti ed in corso, dovrà principalmente analizzare la fattibilità del CDU e di un sistema di distribuzione delle merci nel centro storico con veicoli ad emissioni zero e di una piattaforma di distribuzione con cargo-bike, oltre che l’accessibilità verso il centro storico. </w:t>
            </w:r>
          </w:p>
          <w:p>
            <w:pPr>
              <w:pStyle w:val="Corpo"/>
              <w:bidi w:val="0"/>
              <w:spacing w:before="113" w:after="113"/>
              <w:ind w:left="0" w:right="0" w:hanging="0"/>
              <w:jc w:val="both"/>
              <w:rPr>
                <w:sz w:val="20"/>
                <w:szCs w:val="20"/>
              </w:rPr>
            </w:pPr>
            <w:r>
              <w:rPr>
                <w:rFonts w:ascii="Arial" w:hAnsi="Arial"/>
                <w:sz w:val="20"/>
                <w:szCs w:val="20"/>
                <w:lang w:val="it-IT"/>
              </w:rPr>
              <w:t>In particolare dovrà essere valutata e riprogettata l’intersezione di viale Regina Elena con il viale di circonvallazione – viale Piave- che risulta essere un nodo critico dal punto di vista della sicurezza stradale.</w:t>
            </w:r>
          </w:p>
        </w:tc>
        <w:tc>
          <w:tcPr>
            <w:tcW w:w="222" w:type="dxa"/>
            <w:tcBorders>
              <w:top w:val="nil"/>
              <w:left w:val="nil"/>
              <w:bottom w:val="nil"/>
              <w:right w:val="nil"/>
            </w:tcBorders>
            <w:shd w:color="auto" w:fill="auto" w:val="clear"/>
          </w:tcPr>
          <w:p>
            <w:pPr>
              <w:pStyle w:val="Normal"/>
              <w:spacing w:lineRule="auto" w:line="240" w:before="0" w:after="0"/>
              <w:rPr/>
            </w:pPr>
            <w:r>
              <w:rPr/>
            </w:r>
          </w:p>
        </w:tc>
      </w:tr>
    </w:tbl>
    <w:p>
      <w:pPr>
        <w:pStyle w:val="Normal"/>
        <w:rPr>
          <w:rFonts w:ascii="Arial" w:hAnsi="Arial" w:cs="Arial"/>
          <w:b/>
          <w:b/>
          <w:sz w:val="24"/>
          <w:szCs w:val="24"/>
        </w:rPr>
      </w:pPr>
      <w:r>
        <w:rPr>
          <w:rFonts w:cs="Arial" w:ascii="Arial" w:hAnsi="Arial"/>
          <w:b/>
          <w:sz w:val="24"/>
          <w:szCs w:val="24"/>
        </w:rPr>
      </w:r>
      <w:r>
        <w:br w:type="page"/>
      </w:r>
    </w:p>
    <w:p>
      <w:pPr>
        <w:pStyle w:val="Normal"/>
        <w:spacing w:lineRule="auto" w:line="360" w:before="0" w:after="60"/>
        <w:jc w:val="center"/>
        <w:rPr/>
      </w:pPr>
      <w:r>
        <w:rPr>
          <w:rFonts w:cs="Arial" w:ascii="Arial" w:hAnsi="Arial"/>
          <w:b/>
          <w:sz w:val="24"/>
          <w:szCs w:val="24"/>
        </w:rPr>
        <w:t xml:space="preserve">INFORMAZIONI DI DETTAGLIO RELATIVE AL </w:t>
      </w:r>
    </w:p>
    <w:p>
      <w:pPr>
        <w:pStyle w:val="Normal"/>
        <w:spacing w:lineRule="auto" w:line="360" w:before="0" w:after="60"/>
        <w:jc w:val="center"/>
        <w:rPr/>
      </w:pPr>
      <w:r>
        <w:rPr>
          <w:rFonts w:cs="Arial" w:ascii="Arial" w:hAnsi="Arial"/>
          <w:b/>
          <w:sz w:val="24"/>
          <w:szCs w:val="24"/>
        </w:rPr>
        <w:t xml:space="preserve">PROGETTO (PR) N° 6 DI CUI ALL’ELENCO “A” </w:t>
      </w:r>
    </w:p>
    <w:tbl>
      <w:tblPr>
        <w:tblStyle w:val="Grigliatabella"/>
        <w:tblW w:w="9776" w:type="dxa"/>
        <w:jc w:val="left"/>
        <w:tblInd w:w="-113" w:type="dxa"/>
        <w:tblCellMar>
          <w:top w:w="0" w:type="dxa"/>
          <w:left w:w="108" w:type="dxa"/>
          <w:bottom w:w="0" w:type="dxa"/>
          <w:right w:w="108" w:type="dxa"/>
        </w:tblCellMar>
        <w:tblLook w:firstRow="1" w:noVBand="1" w:lastRow="0" w:firstColumn="1" w:lastColumn="0" w:noHBand="0" w:val="04a0"/>
      </w:tblPr>
      <w:tblGrid>
        <w:gridCol w:w="2924"/>
        <w:gridCol w:w="6808"/>
        <w:gridCol w:w="12"/>
        <w:gridCol w:w="32"/>
      </w:tblGrid>
      <w:tr>
        <w:trPr/>
        <w:tc>
          <w:tcPr>
            <w:tcW w:w="9744" w:type="dxa"/>
            <w:gridSpan w:val="3"/>
            <w:tcBorders/>
            <w:shd w:fill="auto" w:val="clear"/>
          </w:tcPr>
          <w:p>
            <w:pPr>
              <w:pStyle w:val="Normal"/>
              <w:tabs>
                <w:tab w:val="clear" w:pos="408"/>
                <w:tab w:val="left" w:pos="3600" w:leader="none"/>
              </w:tabs>
              <w:spacing w:lineRule="auto" w:line="360" w:before="120" w:after="120"/>
              <w:jc w:val="center"/>
              <w:rPr/>
            </w:pPr>
            <w:r>
              <w:rPr>
                <w:rFonts w:cs="Arial" w:ascii="Arial" w:hAnsi="Arial"/>
                <w:b/>
                <w:sz w:val="24"/>
                <w:szCs w:val="24"/>
              </w:rPr>
              <w:t>PROGETTO N° 6</w:t>
            </w:r>
          </w:p>
        </w:tc>
        <w:tc>
          <w:tcPr>
            <w:tcW w:w="32" w:type="dxa"/>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Ente beneficiario</w:t>
            </w:r>
          </w:p>
        </w:tc>
        <w:tc>
          <w:tcPr>
            <w:tcW w:w="6808"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COMUNE DI REGGIO EMILIA</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spacing w:lineRule="auto" w:line="360" w:before="120" w:after="120"/>
              <w:jc w:val="both"/>
              <w:rPr/>
            </w:pPr>
            <w:r>
              <w:rPr>
                <w:rFonts w:cs="Arial" w:ascii="Arial" w:hAnsi="Arial"/>
                <w:color w:val="000000" w:themeColor="text1"/>
              </w:rPr>
              <w:t xml:space="preserve">Redazione di </w:t>
            </w:r>
          </w:p>
        </w:tc>
        <w:tc>
          <w:tcPr>
            <w:tcW w:w="6808"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PR</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Denominazione PR</w:t>
            </w:r>
          </w:p>
        </w:tc>
        <w:tc>
          <w:tcPr>
            <w:tcW w:w="6808" w:type="dxa"/>
            <w:tcBorders/>
            <w:shd w:fill="auto" w:val="clear"/>
          </w:tcPr>
          <w:p>
            <w:pPr>
              <w:pStyle w:val="Normal"/>
              <w:tabs>
                <w:tab w:val="clear" w:pos="408"/>
                <w:tab w:val="left" w:pos="1155" w:leader="none"/>
              </w:tabs>
              <w:spacing w:lineRule="auto" w:line="360" w:before="120" w:after="120"/>
              <w:jc w:val="both"/>
              <w:rPr/>
            </w:pPr>
            <w:bookmarkStart w:id="1" w:name="__DdeLink__1066_697585362"/>
            <w:r>
              <w:rPr>
                <w:rFonts w:eastAsia="Calibri" w:cs="" w:ascii="Arial" w:hAnsi="Arial"/>
                <w:b/>
                <w:i w:val="false"/>
                <w:strike w:val="false"/>
                <w:dstrike w:val="false"/>
                <w:outline w:val="false"/>
                <w:shadow w:val="false"/>
                <w:color w:val="000000"/>
                <w:kern w:val="0"/>
                <w:sz w:val="20"/>
                <w:szCs w:val="22"/>
                <w:u w:val="none"/>
                <w:em w:val="none"/>
                <w:lang w:val="it-IT" w:eastAsia="en-US" w:bidi="ar-SA"/>
              </w:rPr>
              <w:t xml:space="preserve">Progetto di fattibilità per </w:t>
            </w:r>
            <w:bookmarkEnd w:id="1"/>
            <w:r>
              <w:rPr>
                <w:rFonts w:eastAsia="Calibri" w:cs="" w:ascii="Arial" w:hAnsi="Arial"/>
                <w:b/>
                <w:i w:val="false"/>
                <w:strike w:val="false"/>
                <w:dstrike w:val="false"/>
                <w:outline w:val="false"/>
                <w:shadow w:val="false"/>
                <w:color w:val="000000"/>
                <w:kern w:val="0"/>
                <w:sz w:val="20"/>
                <w:szCs w:val="22"/>
                <w:u w:val="none"/>
                <w:em w:val="none"/>
                <w:lang w:val="it-IT" w:eastAsia="en-US" w:bidi="ar-SA"/>
              </w:rPr>
              <w:t>la realizzazione/riqualificazione delle infrastrutture ciclabili</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CUP</w:t>
            </w:r>
          </w:p>
        </w:tc>
        <w:tc>
          <w:tcPr>
            <w:tcW w:w="6808" w:type="dxa"/>
            <w:tcBorders/>
            <w:shd w:fill="auto" w:val="clear"/>
          </w:tcPr>
          <w:p>
            <w:pPr>
              <w:pStyle w:val="Normal"/>
              <w:tabs>
                <w:tab w:val="clear" w:pos="408"/>
                <w:tab w:val="left" w:pos="3600" w:leader="none"/>
              </w:tabs>
              <w:spacing w:lineRule="auto" w:line="360" w:before="120" w:after="120"/>
              <w:jc w:val="both"/>
              <w:rPr>
                <w:rFonts w:ascii="Arial" w:hAnsi="Arial" w:cs="Arial"/>
                <w:b w:val="false"/>
                <w:b w:val="false"/>
                <w:i w:val="false"/>
                <w:i w:val="false"/>
                <w:strike w:val="false"/>
                <w:dstrike w:val="false"/>
                <w:outline w:val="false"/>
                <w:shadow w:val="false"/>
                <w:color w:val="000000"/>
                <w:sz w:val="22"/>
                <w:szCs w:val="22"/>
                <w:u w:val="none"/>
                <w:em w:val="none"/>
              </w:rPr>
            </w:pPr>
            <w:r>
              <w:rPr>
                <w:rFonts w:cs="Arial" w:ascii="Arial" w:hAnsi="Arial"/>
                <w:b w:val="false"/>
                <w:i w:val="false"/>
                <w:strike w:val="false"/>
                <w:dstrike w:val="false"/>
                <w:outline w:val="false"/>
                <w:shadow w:val="false"/>
                <w:color w:val="000000"/>
                <w:sz w:val="22"/>
                <w:szCs w:val="22"/>
                <w:u w:val="none"/>
                <w:em w:val="none"/>
              </w:rPr>
              <w:t>J87H20001730001</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Data inizio procedura</w:t>
            </w:r>
          </w:p>
        </w:tc>
        <w:tc>
          <w:tcPr>
            <w:tcW w:w="6808" w:type="dxa"/>
            <w:tcBorders/>
            <w:shd w:fill="auto" w:val="clear"/>
          </w:tcPr>
          <w:p>
            <w:pPr>
              <w:pStyle w:val="Normal"/>
              <w:tabs>
                <w:tab w:val="clear" w:pos="408"/>
                <w:tab w:val="left" w:pos="3600" w:leader="none"/>
              </w:tabs>
              <w:spacing w:lineRule="auto" w:line="360" w:before="120" w:after="120"/>
              <w:jc w:val="both"/>
              <w:rPr/>
            </w:pPr>
            <w:r>
              <w:rPr>
                <w:rFonts w:cs="Arial" w:ascii="Arial" w:hAnsi="Arial"/>
                <w:b/>
                <w:bCs/>
              </w:rPr>
              <w:t>01/06/2021</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color w:val="000000" w:themeColor="text1"/>
              </w:rPr>
              <w:t>Importo del PR</w:t>
            </w:r>
          </w:p>
        </w:tc>
        <w:tc>
          <w:tcPr>
            <w:tcW w:w="6808"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32.000,00 €</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spacing w:lineRule="auto" w:line="360" w:before="120" w:after="120"/>
              <w:jc w:val="both"/>
              <w:rPr/>
            </w:pPr>
            <w:r>
              <w:rPr>
                <w:rFonts w:cs="Arial" w:ascii="Arial" w:hAnsi="Arial"/>
              </w:rPr>
              <w:t xml:space="preserve">Descrizione dell’oggetto del </w:t>
            </w:r>
            <w:r>
              <w:rPr>
                <w:rFonts w:cs="Arial" w:ascii="Arial" w:hAnsi="Arial"/>
                <w:color w:val="000000" w:themeColor="text1"/>
              </w:rPr>
              <w:t>PR</w:t>
            </w:r>
          </w:p>
        </w:tc>
        <w:tc>
          <w:tcPr>
            <w:tcW w:w="6808" w:type="dxa"/>
            <w:tcBorders/>
            <w:shd w:fill="auto" w:val="clear"/>
          </w:tcPr>
          <w:p>
            <w:pPr>
              <w:pStyle w:val="Corpo"/>
              <w:tabs>
                <w:tab w:val="clear" w:pos="408"/>
                <w:tab w:val="left" w:pos="426" w:leader="none"/>
              </w:tabs>
              <w:spacing w:before="0" w:after="113"/>
              <w:jc w:val="both"/>
              <w:rPr>
                <w:sz w:val="20"/>
                <w:szCs w:val="20"/>
              </w:rPr>
            </w:pPr>
            <w:r>
              <w:rPr>
                <w:rFonts w:ascii="Arial" w:hAnsi="Arial"/>
                <w:sz w:val="20"/>
                <w:szCs w:val="20"/>
                <w:lang w:val="it-IT"/>
              </w:rPr>
              <w:t xml:space="preserve">Uno degli assi principali d’intervento del PUMS è il miglioramento della fruizione della città da parte di pedoni e ciclisti. </w:t>
            </w:r>
          </w:p>
          <w:p>
            <w:pPr>
              <w:pStyle w:val="Corpo"/>
              <w:tabs>
                <w:tab w:val="clear" w:pos="408"/>
                <w:tab w:val="left" w:pos="426" w:leader="none"/>
              </w:tabs>
              <w:bidi w:val="0"/>
              <w:spacing w:before="0" w:after="113"/>
              <w:ind w:left="0" w:right="0" w:hanging="0"/>
              <w:jc w:val="both"/>
              <w:rPr>
                <w:sz w:val="20"/>
                <w:szCs w:val="20"/>
              </w:rPr>
            </w:pPr>
            <w:r>
              <w:rPr>
                <w:rFonts w:ascii="Arial" w:hAnsi="Arial"/>
                <w:sz w:val="20"/>
                <w:szCs w:val="20"/>
                <w:lang w:val="it-IT"/>
              </w:rPr>
              <w:t xml:space="preserve">Il sistema della rete portante/primaria definita dal Biciplan 2008 risulta essere in via di completamento, soprattutto nelle direttrici radiali ed il nuovo Biciplan, in fase di stesura, indica tra le varie cose come migliorare la rete ciclabile esistente in termini di standard e sicurezza, superando dove possibile la segregazione con i pedoni, l’ampliamento, riqualificazione e riconoscibilità degli itinerari ciclistici, chiarendo le percorrenze ciclistiche e pedonali nei principali nodi di traffico, sviluppando nuove connessioni e  cui superando le barriere infrastrutturali restanti. </w:t>
            </w:r>
          </w:p>
          <w:p>
            <w:pPr>
              <w:pStyle w:val="Corpo"/>
              <w:bidi w:val="0"/>
              <w:spacing w:before="0" w:after="113"/>
              <w:ind w:left="0" w:right="0" w:hanging="0"/>
              <w:jc w:val="both"/>
              <w:rPr>
                <w:sz w:val="20"/>
                <w:szCs w:val="20"/>
              </w:rPr>
            </w:pPr>
            <w:r>
              <w:rPr>
                <w:rFonts w:ascii="Arial" w:hAnsi="Arial"/>
                <w:sz w:val="20"/>
                <w:szCs w:val="20"/>
                <w:lang w:val="it-IT"/>
              </w:rPr>
              <w:t>Lo studio in oggetto quindi dovrà sviluppare i progetti di fattibilità per la realizzazione e la riqualificazione delle infrastrutture ciclopedonali ritenute prioritarie e strategiche dal PUMS e dal Biciplan.</w:t>
            </w:r>
          </w:p>
          <w:p>
            <w:pPr>
              <w:pStyle w:val="Corpo"/>
              <w:spacing w:lineRule="auto" w:line="360" w:before="120" w:after="120"/>
              <w:jc w:val="both"/>
              <w:rPr>
                <w:rFonts w:ascii="Arial" w:hAnsi="Arial" w:eastAsia="Arial" w:cs="Arial"/>
                <w:sz w:val="20"/>
                <w:szCs w:val="20"/>
                <w:lang w:val="it-IT"/>
              </w:rPr>
            </w:pPr>
            <w:r>
              <w:rPr>
                <w:rFonts w:eastAsia="Arial" w:cs="Arial" w:ascii="Arial" w:hAnsi="Arial"/>
                <w:sz w:val="20"/>
                <w:szCs w:val="20"/>
                <w:lang w:val="it-IT"/>
              </w:rPr>
            </w:r>
          </w:p>
          <w:p>
            <w:pPr>
              <w:pStyle w:val="Corpo"/>
              <w:spacing w:lineRule="auto" w:line="360" w:before="120" w:after="120"/>
              <w:jc w:val="both"/>
              <w:rPr>
                <w:sz w:val="20"/>
                <w:szCs w:val="20"/>
              </w:rPr>
            </w:pPr>
            <w:r>
              <w:rPr>
                <w:sz w:val="20"/>
                <w:szCs w:val="20"/>
              </w:rPr>
            </w:r>
          </w:p>
        </w:tc>
        <w:tc>
          <w:tcPr>
            <w:tcW w:w="44" w:type="dxa"/>
            <w:gridSpan w:val="2"/>
            <w:tcBorders>
              <w:top w:val="nil"/>
              <w:left w:val="nil"/>
              <w:bottom w:val="nil"/>
              <w:right w:val="nil"/>
            </w:tcBorders>
            <w:shd w:fill="auto" w:val="clear"/>
          </w:tcPr>
          <w:p>
            <w:pPr>
              <w:pStyle w:val="Normal"/>
              <w:spacing w:lineRule="auto" w:line="240" w:before="0" w:after="0"/>
              <w:rPr/>
            </w:pPr>
            <w:r>
              <w:rPr/>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Normal"/>
        <w:spacing w:lineRule="auto" w:line="360" w:before="0" w:after="60"/>
        <w:jc w:val="center"/>
        <w:rPr/>
      </w:pPr>
      <w:r>
        <w:rPr>
          <w:rFonts w:cs="Arial" w:ascii="Arial" w:hAnsi="Arial"/>
          <w:b/>
          <w:sz w:val="24"/>
          <w:szCs w:val="24"/>
        </w:rPr>
        <w:t xml:space="preserve">INFORMAZIONI DI DETTAGLIO RELATIVE AL </w:t>
      </w:r>
    </w:p>
    <w:p>
      <w:pPr>
        <w:pStyle w:val="Normal"/>
        <w:spacing w:lineRule="auto" w:line="360" w:before="0" w:after="60"/>
        <w:jc w:val="center"/>
        <w:rPr/>
      </w:pPr>
      <w:r>
        <w:rPr>
          <w:rFonts w:cs="Arial" w:ascii="Arial" w:hAnsi="Arial"/>
          <w:b/>
          <w:sz w:val="24"/>
          <w:szCs w:val="24"/>
        </w:rPr>
        <w:t xml:space="preserve">PROGETTO (PR) N° 7 DI CUI ALL’ELENCO “A” </w:t>
      </w:r>
    </w:p>
    <w:tbl>
      <w:tblPr>
        <w:tblStyle w:val="Grigliatabella"/>
        <w:tblW w:w="9776" w:type="dxa"/>
        <w:jc w:val="left"/>
        <w:tblInd w:w="-113" w:type="dxa"/>
        <w:tblCellMar>
          <w:top w:w="0" w:type="dxa"/>
          <w:left w:w="108" w:type="dxa"/>
          <w:bottom w:w="0" w:type="dxa"/>
          <w:right w:w="108" w:type="dxa"/>
        </w:tblCellMar>
        <w:tblLook w:firstRow="1" w:noVBand="1" w:lastRow="0" w:firstColumn="1" w:lastColumn="0" w:noHBand="0" w:val="04a0"/>
      </w:tblPr>
      <w:tblGrid>
        <w:gridCol w:w="2924"/>
        <w:gridCol w:w="6808"/>
        <w:gridCol w:w="12"/>
        <w:gridCol w:w="32"/>
      </w:tblGrid>
      <w:tr>
        <w:trPr/>
        <w:tc>
          <w:tcPr>
            <w:tcW w:w="9744" w:type="dxa"/>
            <w:gridSpan w:val="3"/>
            <w:tcBorders/>
            <w:shd w:fill="auto" w:val="clear"/>
          </w:tcPr>
          <w:p>
            <w:pPr>
              <w:pStyle w:val="Normal"/>
              <w:tabs>
                <w:tab w:val="clear" w:pos="408"/>
                <w:tab w:val="left" w:pos="3600" w:leader="none"/>
              </w:tabs>
              <w:spacing w:lineRule="auto" w:line="360" w:before="120" w:after="120"/>
              <w:jc w:val="center"/>
              <w:rPr/>
            </w:pPr>
            <w:r>
              <w:rPr>
                <w:rFonts w:cs="Arial" w:ascii="Arial" w:hAnsi="Arial"/>
                <w:b/>
                <w:sz w:val="24"/>
                <w:szCs w:val="24"/>
              </w:rPr>
              <w:t>PROGETTO N° 7</w:t>
            </w:r>
          </w:p>
        </w:tc>
        <w:tc>
          <w:tcPr>
            <w:tcW w:w="32" w:type="dxa"/>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Ente beneficiario</w:t>
            </w:r>
          </w:p>
        </w:tc>
        <w:tc>
          <w:tcPr>
            <w:tcW w:w="6808"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COMUNE DI REGGIO EMILIA</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spacing w:lineRule="auto" w:line="360" w:before="120" w:after="120"/>
              <w:jc w:val="both"/>
              <w:rPr/>
            </w:pPr>
            <w:r>
              <w:rPr>
                <w:rFonts w:cs="Arial" w:ascii="Arial" w:hAnsi="Arial"/>
                <w:color w:val="000000" w:themeColor="text1"/>
              </w:rPr>
              <w:t xml:space="preserve">Redazione di </w:t>
            </w:r>
          </w:p>
        </w:tc>
        <w:tc>
          <w:tcPr>
            <w:tcW w:w="6808"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PR</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Denominazione</w:t>
            </w:r>
            <w:r>
              <w:rPr>
                <w:rFonts w:cs="Arial" w:ascii="Arial" w:hAnsi="Arial"/>
                <w:b/>
                <w:bCs/>
              </w:rPr>
              <w:t xml:space="preserve"> PR</w:t>
            </w:r>
          </w:p>
        </w:tc>
        <w:tc>
          <w:tcPr>
            <w:tcW w:w="6808" w:type="dxa"/>
            <w:tcBorders/>
            <w:shd w:fill="auto" w:val="clear"/>
          </w:tcPr>
          <w:p>
            <w:pPr>
              <w:pStyle w:val="Normal"/>
              <w:tabs>
                <w:tab w:val="clear" w:pos="408"/>
                <w:tab w:val="left" w:pos="1155" w:leader="none"/>
              </w:tabs>
              <w:spacing w:lineRule="auto" w:line="360" w:before="120" w:after="120"/>
              <w:jc w:val="both"/>
              <w:rPr/>
            </w:pPr>
            <w:r>
              <w:rPr>
                <w:rFonts w:eastAsia="Calibri" w:cs="" w:ascii="Arial" w:hAnsi="Arial"/>
                <w:b/>
                <w:i w:val="false"/>
                <w:strike w:val="false"/>
                <w:dstrike w:val="false"/>
                <w:outline w:val="false"/>
                <w:shadow w:val="false"/>
                <w:color w:val="000000"/>
                <w:kern w:val="0"/>
                <w:sz w:val="20"/>
                <w:szCs w:val="22"/>
                <w:u w:val="none"/>
                <w:em w:val="none"/>
                <w:lang w:val="it-IT" w:eastAsia="en-US" w:bidi="ar-SA"/>
              </w:rPr>
              <w:t>Progetto di fattibilità per il miglioramento della sicurezza stradale e della qualità ambientale nelle aree densamente abitate. (la Città 30 e le Frazioni)</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CUP</w:t>
            </w:r>
          </w:p>
        </w:tc>
        <w:tc>
          <w:tcPr>
            <w:tcW w:w="6808" w:type="dxa"/>
            <w:tcBorders/>
            <w:shd w:fill="auto" w:val="clear"/>
          </w:tcPr>
          <w:p>
            <w:pPr>
              <w:pStyle w:val="Normal"/>
              <w:tabs>
                <w:tab w:val="clear" w:pos="408"/>
                <w:tab w:val="left" w:pos="3600" w:leader="none"/>
              </w:tabs>
              <w:spacing w:lineRule="auto" w:line="360" w:before="120" w:after="120"/>
              <w:jc w:val="both"/>
              <w:rPr>
                <w:rFonts w:ascii="Arial" w:hAnsi="Arial" w:cs="Arial"/>
                <w:b w:val="false"/>
                <w:b w:val="false"/>
                <w:i w:val="false"/>
                <w:i w:val="false"/>
                <w:strike w:val="false"/>
                <w:dstrike w:val="false"/>
                <w:outline w:val="false"/>
                <w:shadow w:val="false"/>
                <w:color w:val="000000"/>
                <w:sz w:val="22"/>
                <w:szCs w:val="22"/>
                <w:u w:val="none"/>
                <w:em w:val="none"/>
              </w:rPr>
            </w:pPr>
            <w:r>
              <w:rPr>
                <w:rFonts w:cs="Arial" w:ascii="Arial" w:hAnsi="Arial"/>
                <w:b w:val="false"/>
                <w:i w:val="false"/>
                <w:strike w:val="false"/>
                <w:dstrike w:val="false"/>
                <w:outline w:val="false"/>
                <w:shadow w:val="false"/>
                <w:color w:val="000000"/>
                <w:sz w:val="22"/>
                <w:szCs w:val="22"/>
                <w:u w:val="none"/>
                <w:em w:val="none"/>
              </w:rPr>
              <w:t>J87H20001740001</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Data inizio procedura</w:t>
            </w:r>
          </w:p>
        </w:tc>
        <w:tc>
          <w:tcPr>
            <w:tcW w:w="6808" w:type="dxa"/>
            <w:tcBorders/>
            <w:shd w:fill="auto" w:val="clear"/>
          </w:tcPr>
          <w:p>
            <w:pPr>
              <w:pStyle w:val="Normal"/>
              <w:tabs>
                <w:tab w:val="clear" w:pos="408"/>
                <w:tab w:val="left" w:pos="3600" w:leader="none"/>
              </w:tabs>
              <w:spacing w:lineRule="auto" w:line="360" w:before="120" w:after="120"/>
              <w:jc w:val="both"/>
              <w:rPr/>
            </w:pPr>
            <w:r>
              <w:rPr>
                <w:rFonts w:cs="Arial" w:ascii="Arial" w:hAnsi="Arial"/>
                <w:b/>
                <w:bCs/>
              </w:rPr>
              <w:t>01/06/2021</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tabs>
                <w:tab w:val="clear" w:pos="408"/>
                <w:tab w:val="left" w:pos="3600" w:leader="none"/>
              </w:tabs>
              <w:spacing w:lineRule="auto" w:line="360" w:before="120" w:after="120"/>
              <w:jc w:val="both"/>
              <w:rPr/>
            </w:pPr>
            <w:r>
              <w:rPr>
                <w:rFonts w:cs="Arial" w:ascii="Arial" w:hAnsi="Arial"/>
                <w:color w:val="000000" w:themeColor="text1"/>
              </w:rPr>
              <w:t>Importo PR</w:t>
            </w:r>
          </w:p>
        </w:tc>
        <w:tc>
          <w:tcPr>
            <w:tcW w:w="6808" w:type="dxa"/>
            <w:tcBorders/>
            <w:shd w:fill="auto" w:val="clear"/>
          </w:tcPr>
          <w:p>
            <w:pPr>
              <w:pStyle w:val="Normal"/>
              <w:tabs>
                <w:tab w:val="clear" w:pos="408"/>
                <w:tab w:val="left" w:pos="3600" w:leader="none"/>
              </w:tabs>
              <w:spacing w:lineRule="auto" w:line="360" w:before="120" w:after="120"/>
              <w:jc w:val="both"/>
              <w:rPr/>
            </w:pPr>
            <w:r>
              <w:rPr>
                <w:rFonts w:cs="Arial" w:ascii="Arial" w:hAnsi="Arial"/>
              </w:rPr>
              <w:t>40.000,00 €</w:t>
            </w:r>
          </w:p>
        </w:tc>
        <w:tc>
          <w:tcPr>
            <w:tcW w:w="44" w:type="dxa"/>
            <w:gridSpan w:val="2"/>
            <w:tcBorders>
              <w:top w:val="nil"/>
              <w:left w:val="nil"/>
              <w:bottom w:val="nil"/>
              <w:right w:val="nil"/>
            </w:tcBorders>
            <w:shd w:fill="auto" w:val="clear"/>
          </w:tcPr>
          <w:p>
            <w:pPr>
              <w:pStyle w:val="Normal"/>
              <w:spacing w:lineRule="auto" w:line="240" w:before="0" w:after="0"/>
              <w:rPr/>
            </w:pPr>
            <w:r>
              <w:rPr/>
            </w:r>
          </w:p>
        </w:tc>
      </w:tr>
      <w:tr>
        <w:trPr/>
        <w:tc>
          <w:tcPr>
            <w:tcW w:w="2924" w:type="dxa"/>
            <w:tcBorders/>
            <w:shd w:fill="auto" w:val="clear"/>
          </w:tcPr>
          <w:p>
            <w:pPr>
              <w:pStyle w:val="Normal"/>
              <w:spacing w:lineRule="auto" w:line="360" w:before="120" w:after="120"/>
              <w:jc w:val="both"/>
              <w:rPr/>
            </w:pPr>
            <w:r>
              <w:rPr>
                <w:rFonts w:cs="Arial" w:ascii="Arial" w:hAnsi="Arial"/>
              </w:rPr>
              <w:t xml:space="preserve">Descrizione dell’oggetto del </w:t>
            </w:r>
            <w:r>
              <w:rPr>
                <w:rFonts w:cs="Arial" w:ascii="Arial" w:hAnsi="Arial"/>
                <w:color w:val="000000" w:themeColor="text1"/>
              </w:rPr>
              <w:t>PR</w:t>
            </w:r>
          </w:p>
        </w:tc>
        <w:tc>
          <w:tcPr>
            <w:tcW w:w="6808" w:type="dxa"/>
            <w:tcBorders/>
            <w:shd w:fill="auto" w:val="clear"/>
          </w:tcPr>
          <w:p>
            <w:pPr>
              <w:pStyle w:val="Corpo"/>
              <w:tabs>
                <w:tab w:val="clear" w:pos="408"/>
                <w:tab w:val="left" w:pos="426" w:leader="none"/>
              </w:tabs>
              <w:spacing w:before="0" w:after="113"/>
              <w:jc w:val="both"/>
              <w:rPr>
                <w:sz w:val="20"/>
                <w:szCs w:val="20"/>
              </w:rPr>
            </w:pPr>
            <w:r>
              <w:rPr>
                <w:rFonts w:ascii="Arial" w:hAnsi="Arial"/>
                <w:sz w:val="20"/>
                <w:szCs w:val="20"/>
                <w:lang w:val="it-IT"/>
              </w:rPr>
              <w:t>Un asse principale d’intervento del PUMS è rendere le aree urbane più sicure, vivibili e di maggiore qualità in modo da migliorarne l’accessibilità ai mezzi di trasporto più sostenibili.</w:t>
            </w:r>
          </w:p>
          <w:p>
            <w:pPr>
              <w:pStyle w:val="Corpo"/>
              <w:tabs>
                <w:tab w:val="clear" w:pos="408"/>
                <w:tab w:val="left" w:pos="426" w:leader="none"/>
              </w:tabs>
              <w:bidi w:val="0"/>
              <w:spacing w:before="0" w:after="113"/>
              <w:ind w:left="0" w:right="0" w:hanging="0"/>
              <w:jc w:val="both"/>
              <w:rPr>
                <w:sz w:val="20"/>
                <w:szCs w:val="20"/>
              </w:rPr>
            </w:pPr>
            <w:r>
              <w:rPr>
                <w:rFonts w:ascii="Arial" w:hAnsi="Arial"/>
                <w:sz w:val="20"/>
                <w:szCs w:val="20"/>
                <w:lang w:val="it-IT"/>
              </w:rPr>
              <w:t>Il PUMS definisce e prevede l’implementazione della Città30, che comprende il nucleo centrale della città esterno al centro storico e tutta le rete stradale urbana ad esclusione dei principali assi di attraversamento. Il principio ispiratore è quello previsto dal Codice della Strada per le “isole ambientali”, da applicare sistematicamente su tutta la città.</w:t>
            </w:r>
          </w:p>
          <w:p>
            <w:pPr>
              <w:pStyle w:val="Corpo"/>
              <w:tabs>
                <w:tab w:val="clear" w:pos="408"/>
                <w:tab w:val="left" w:pos="426" w:leader="none"/>
              </w:tabs>
              <w:bidi w:val="0"/>
              <w:spacing w:before="0" w:after="113"/>
              <w:ind w:left="0" w:right="0" w:hanging="0"/>
              <w:jc w:val="both"/>
              <w:rPr>
                <w:sz w:val="20"/>
                <w:szCs w:val="20"/>
              </w:rPr>
            </w:pPr>
            <w:r>
              <w:rPr>
                <w:rFonts w:ascii="Arial" w:hAnsi="Arial"/>
                <w:sz w:val="20"/>
                <w:szCs w:val="20"/>
                <w:lang w:val="it-IT"/>
              </w:rPr>
              <w:t>Lo studio di fattibilità dovrà prevedere la realizzazione di un più generale sistema di riduzione della velocità a 30 km/h e interventi specifici di riqualificazione di porzioni di tessuto urbano su cui applicare modelli di riqualificazione urbana che prevedano la sicurezza e precedenza degli utenti più vulnerabili, tra cui anziani e bambini, quali le Zone 20, le Zone a Traffico Residenziale e i “voonerf.</w:t>
            </w:r>
          </w:p>
          <w:p>
            <w:pPr>
              <w:pStyle w:val="PuntoelencoA"/>
              <w:bidi w:val="0"/>
              <w:spacing w:before="0" w:after="0"/>
              <w:ind w:left="0" w:right="0" w:hanging="0"/>
              <w:jc w:val="both"/>
              <w:rPr>
                <w:sz w:val="20"/>
                <w:szCs w:val="20"/>
              </w:rPr>
            </w:pPr>
            <w:r>
              <w:rPr>
                <w:rFonts w:ascii="Arial" w:hAnsi="Arial"/>
                <w:sz w:val="20"/>
                <w:szCs w:val="20"/>
                <w:lang w:val="it-IT"/>
              </w:rPr>
              <w:t>Anche per quanto riguarda le aree urbanizzate costituite dalle frazioni, il piano individua come linea strategica quella di aumentarne la sicurezza e vivibilità mediante interventi di riduzione della velocità a 30 km/h .</w:t>
            </w:r>
          </w:p>
          <w:p>
            <w:pPr>
              <w:pStyle w:val="Corpo"/>
              <w:bidi w:val="0"/>
              <w:spacing w:before="0" w:after="113"/>
              <w:ind w:left="0" w:right="0" w:hanging="0"/>
              <w:jc w:val="both"/>
              <w:rPr>
                <w:sz w:val="20"/>
                <w:szCs w:val="20"/>
              </w:rPr>
            </w:pPr>
            <w:r>
              <w:rPr>
                <w:rFonts w:ascii="Arial" w:hAnsi="Arial"/>
                <w:sz w:val="20"/>
                <w:szCs w:val="20"/>
                <w:lang w:val="it-IT"/>
              </w:rPr>
              <w:t>Quindi sia per la città che per le frazioni, lo studio intende approfondire ed individuare le modalità operative per l’attuazione delle misure individuate in riferimento alle tecnologie disponibili e alle tecniche di moderazione del traffico ritenute più idonee ed efficaci per gli ambiti considerati.</w:t>
            </w:r>
          </w:p>
          <w:p>
            <w:pPr>
              <w:pStyle w:val="Corpo"/>
              <w:tabs>
                <w:tab w:val="clear" w:pos="408"/>
                <w:tab w:val="left" w:pos="426" w:leader="none"/>
              </w:tabs>
              <w:bidi w:val="0"/>
              <w:spacing w:lineRule="auto" w:line="276" w:before="0" w:after="113"/>
              <w:ind w:left="0" w:right="0" w:hanging="0"/>
              <w:jc w:val="both"/>
              <w:rPr>
                <w:sz w:val="20"/>
                <w:szCs w:val="20"/>
              </w:rPr>
            </w:pPr>
            <w:r>
              <w:rPr>
                <w:rFonts w:eastAsia="Calibri" w:cs="Arial" w:ascii="Arial" w:hAnsi="Arial"/>
                <w:b w:val="false"/>
                <w:bCs w:val="false"/>
                <w:color w:val="000000" w:themeColor="text1"/>
                <w:kern w:val="0"/>
                <w:sz w:val="20"/>
                <w:szCs w:val="20"/>
                <w:u w:val="none"/>
                <w:lang w:val="it-IT" w:eastAsia="en-US" w:bidi="ar-SA"/>
              </w:rPr>
              <w:t>Su tali temi occorrerà inoltre effettuare un approfondimento normativo sia in relazione alle disposizioni vigenti che a proposte di modifica dell’apparato normativo a scala comunale (Regolamento Viario, ...).</w:t>
            </w:r>
          </w:p>
        </w:tc>
        <w:tc>
          <w:tcPr>
            <w:tcW w:w="44" w:type="dxa"/>
            <w:gridSpan w:val="2"/>
            <w:tcBorders>
              <w:top w:val="nil"/>
              <w:left w:val="nil"/>
              <w:bottom w:val="nil"/>
              <w:right w:val="nil"/>
            </w:tcBorders>
            <w:shd w:fill="auto" w:val="clear"/>
          </w:tcPr>
          <w:p>
            <w:pPr>
              <w:pStyle w:val="Normal"/>
              <w:spacing w:lineRule="auto" w:line="240" w:before="0" w:after="0"/>
              <w:rPr/>
            </w:pPr>
            <w:r>
              <w:rPr/>
            </w:r>
          </w:p>
        </w:tc>
      </w:tr>
    </w:tbl>
    <w:p>
      <w:pPr>
        <w:pStyle w:val="Normal"/>
        <w:spacing w:lineRule="auto" w:line="360" w:before="0" w:after="60"/>
        <w:jc w:val="center"/>
        <w:rPr>
          <w:rFonts w:ascii="Arial" w:hAnsi="Arial" w:cs="Arial"/>
          <w:b/>
          <w:b/>
          <w:sz w:val="24"/>
          <w:szCs w:val="24"/>
        </w:rPr>
      </w:pPr>
      <w:r>
        <w:rPr>
          <w:rFonts w:cs="Arial" w:ascii="Arial" w:hAnsi="Arial"/>
          <w:b/>
          <w:sz w:val="24"/>
          <w:szCs w:val="24"/>
        </w:rPr>
      </w:r>
      <w:r>
        <w:br w:type="page"/>
      </w:r>
    </w:p>
    <w:p>
      <w:pPr>
        <w:pStyle w:val="Normal"/>
        <w:spacing w:lineRule="auto" w:line="360" w:before="0" w:after="60"/>
        <w:jc w:val="center"/>
        <w:rPr/>
      </w:pPr>
      <w:r>
        <w:rPr>
          <w:rFonts w:cs="Arial" w:ascii="Arial" w:hAnsi="Arial"/>
          <w:b/>
          <w:sz w:val="24"/>
          <w:szCs w:val="24"/>
        </w:rPr>
        <w:t xml:space="preserve">INFORMAZIONI DI DETTAGLIO RELATIVE AL </w:t>
      </w:r>
    </w:p>
    <w:p>
      <w:pPr>
        <w:pStyle w:val="Normal"/>
        <w:spacing w:lineRule="auto" w:line="360" w:before="0" w:after="60"/>
        <w:jc w:val="center"/>
        <w:rPr/>
      </w:pPr>
      <w:r>
        <w:rPr>
          <w:rFonts w:cs="Arial" w:ascii="Arial" w:hAnsi="Arial"/>
          <w:b/>
          <w:sz w:val="24"/>
          <w:szCs w:val="24"/>
        </w:rPr>
        <w:t xml:space="preserve">PROGETTO (PR) N° 8 DI CUI ALL’ELENCO “A” </w:t>
      </w:r>
    </w:p>
    <w:tbl>
      <w:tblPr>
        <w:tblStyle w:val="Grigliatabella"/>
        <w:tblW w:w="9776" w:type="dxa"/>
        <w:jc w:val="left"/>
        <w:tblInd w:w="-221" w:type="dxa"/>
        <w:tblCellMar>
          <w:top w:w="0" w:type="dxa"/>
          <w:left w:w="108" w:type="dxa"/>
          <w:bottom w:w="0" w:type="dxa"/>
          <w:right w:w="108" w:type="dxa"/>
        </w:tblCellMar>
        <w:tblLook w:firstRow="1" w:noVBand="1" w:lastRow="0" w:firstColumn="1" w:lastColumn="0" w:noHBand="0" w:val="04a0"/>
      </w:tblPr>
      <w:tblGrid>
        <w:gridCol w:w="2880"/>
        <w:gridCol w:w="6674"/>
        <w:gridCol w:w="222"/>
      </w:tblGrid>
      <w:tr>
        <w:trPr/>
        <w:tc>
          <w:tcPr>
            <w:tcW w:w="9554" w:type="dxa"/>
            <w:gridSpan w:val="2"/>
            <w:tcBorders/>
            <w:shd w:color="auto" w:fill="auto" w:val="clear"/>
          </w:tcPr>
          <w:p>
            <w:pPr>
              <w:pStyle w:val="Normal"/>
              <w:tabs>
                <w:tab w:val="clear" w:pos="408"/>
                <w:tab w:val="left" w:pos="3600" w:leader="none"/>
              </w:tabs>
              <w:spacing w:lineRule="auto" w:line="360" w:before="120" w:after="120"/>
              <w:jc w:val="center"/>
              <w:rPr/>
            </w:pPr>
            <w:r>
              <w:rPr>
                <w:rFonts w:cs="Arial" w:ascii="Arial" w:hAnsi="Arial"/>
                <w:b/>
                <w:sz w:val="24"/>
                <w:szCs w:val="24"/>
              </w:rPr>
              <w:t>PROGETTO N° 8</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Ente beneficiario</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COMUNE DI REGGIO EMILIA</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spacing w:lineRule="auto" w:line="360" w:before="120" w:after="120"/>
              <w:jc w:val="both"/>
              <w:rPr/>
            </w:pPr>
            <w:r>
              <w:rPr>
                <w:rFonts w:cs="Arial" w:ascii="Arial" w:hAnsi="Arial"/>
                <w:color w:val="000000" w:themeColor="text1"/>
              </w:rPr>
              <w:t xml:space="preserve">Redazione di </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PR</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rHeight w:val="847" w:hRule="atLeast"/>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Denominazione PR</w:t>
            </w:r>
          </w:p>
        </w:tc>
        <w:tc>
          <w:tcPr>
            <w:tcW w:w="6674" w:type="dxa"/>
            <w:tcBorders/>
            <w:shd w:color="auto" w:fill="auto" w:val="clear"/>
          </w:tcPr>
          <w:p>
            <w:pPr>
              <w:pStyle w:val="Normal"/>
              <w:tabs>
                <w:tab w:val="clear" w:pos="408"/>
                <w:tab w:val="left" w:pos="1155" w:leader="none"/>
              </w:tabs>
              <w:spacing w:lineRule="auto" w:line="360" w:before="120" w:after="120"/>
              <w:jc w:val="both"/>
              <w:rPr/>
            </w:pPr>
            <w:r>
              <w:rPr>
                <w:rFonts w:cs="Arial" w:ascii="Arial" w:hAnsi="Arial"/>
                <w:b/>
                <w:color w:val="000000"/>
                <w:sz w:val="20"/>
              </w:rPr>
              <w:t>Progetto di fattibilità per la riqualificazione e moderazione del traffico degli assi viabilistici di ingresso alla città</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CUP</w:t>
            </w:r>
          </w:p>
        </w:tc>
        <w:tc>
          <w:tcPr>
            <w:tcW w:w="6674" w:type="dxa"/>
            <w:tcBorders/>
            <w:shd w:color="auto" w:fill="auto" w:val="clear"/>
          </w:tcPr>
          <w:p>
            <w:pPr>
              <w:pStyle w:val="Normal"/>
              <w:tabs>
                <w:tab w:val="clear" w:pos="408"/>
                <w:tab w:val="left" w:pos="3600" w:leader="none"/>
              </w:tabs>
              <w:spacing w:lineRule="auto" w:line="360" w:before="120" w:after="120"/>
              <w:jc w:val="both"/>
              <w:rPr>
                <w:rFonts w:ascii="Arial" w:hAnsi="Arial" w:cs="Arial"/>
                <w:b w:val="false"/>
                <w:b w:val="false"/>
                <w:i w:val="false"/>
                <w:i w:val="false"/>
                <w:strike w:val="false"/>
                <w:dstrike w:val="false"/>
                <w:outline w:val="false"/>
                <w:shadow w:val="false"/>
                <w:color w:val="000000"/>
                <w:sz w:val="22"/>
                <w:szCs w:val="22"/>
                <w:u w:val="none"/>
                <w:em w:val="none"/>
              </w:rPr>
            </w:pPr>
            <w:r>
              <w:rPr>
                <w:rFonts w:cs="Arial" w:ascii="Arial" w:hAnsi="Arial"/>
                <w:b w:val="false"/>
                <w:i w:val="false"/>
                <w:strike w:val="false"/>
                <w:dstrike w:val="false"/>
                <w:outline w:val="false"/>
                <w:shadow w:val="false"/>
                <w:color w:val="000000"/>
                <w:sz w:val="22"/>
                <w:szCs w:val="22"/>
                <w:u w:val="none"/>
                <w:em w:val="none"/>
              </w:rPr>
              <w:t>J87H20001750001</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Data inizio procedura</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b/>
                <w:bCs/>
              </w:rPr>
              <w:t>01/06/2021</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color w:val="000000" w:themeColor="text1"/>
              </w:rPr>
              <w:t>Importo del PR</w:t>
            </w:r>
          </w:p>
        </w:tc>
        <w:tc>
          <w:tcPr>
            <w:tcW w:w="6674" w:type="dxa"/>
            <w:tcBorders/>
            <w:shd w:color="auto" w:fill="auto" w:val="clear"/>
          </w:tcPr>
          <w:p>
            <w:pPr>
              <w:pStyle w:val="Normal"/>
              <w:tabs>
                <w:tab w:val="clear" w:pos="408"/>
                <w:tab w:val="left" w:pos="3600" w:leader="none"/>
              </w:tabs>
              <w:spacing w:lineRule="auto" w:line="360" w:before="120" w:after="120"/>
              <w:jc w:val="both"/>
              <w:rPr/>
            </w:pPr>
            <w:r>
              <w:rPr>
                <w:rFonts w:cs="Arial" w:ascii="Arial" w:hAnsi="Arial"/>
              </w:rPr>
              <w:t>40.000,00 €</w:t>
            </w:r>
          </w:p>
        </w:tc>
        <w:tc>
          <w:tcPr>
            <w:tcW w:w="222" w:type="dxa"/>
            <w:tcBorders>
              <w:top w:val="nil"/>
              <w:left w:val="nil"/>
              <w:bottom w:val="nil"/>
              <w:right w:val="nil"/>
            </w:tcBorders>
            <w:shd w:color="auto" w:fill="auto" w:val="clear"/>
          </w:tcPr>
          <w:p>
            <w:pPr>
              <w:pStyle w:val="Normal"/>
              <w:spacing w:lineRule="auto" w:line="240" w:before="0" w:after="0"/>
              <w:rPr/>
            </w:pPr>
            <w:r>
              <w:rPr/>
            </w:r>
          </w:p>
        </w:tc>
      </w:tr>
      <w:tr>
        <w:trPr/>
        <w:tc>
          <w:tcPr>
            <w:tcW w:w="2880" w:type="dxa"/>
            <w:tcBorders/>
            <w:shd w:color="auto" w:fill="auto" w:val="clear"/>
          </w:tcPr>
          <w:p>
            <w:pPr>
              <w:pStyle w:val="Normal"/>
              <w:spacing w:lineRule="auto" w:line="360" w:before="120" w:after="120"/>
              <w:jc w:val="both"/>
              <w:rPr/>
            </w:pPr>
            <w:r>
              <w:rPr>
                <w:rFonts w:cs="Arial" w:ascii="Arial" w:hAnsi="Arial"/>
              </w:rPr>
              <w:t xml:space="preserve">Descrizione dell’oggetto del </w:t>
            </w:r>
            <w:r>
              <w:rPr>
                <w:rFonts w:cs="Arial" w:ascii="Arial" w:hAnsi="Arial"/>
                <w:color w:val="000000" w:themeColor="text1"/>
              </w:rPr>
              <w:t>PR</w:t>
            </w:r>
          </w:p>
        </w:tc>
        <w:tc>
          <w:tcPr>
            <w:tcW w:w="6674" w:type="dxa"/>
            <w:tcBorders/>
            <w:shd w:color="auto" w:fill="auto" w:val="clear"/>
          </w:tcPr>
          <w:p>
            <w:pPr>
              <w:pStyle w:val="Corpo"/>
              <w:spacing w:before="0" w:after="113"/>
              <w:jc w:val="both"/>
              <w:rPr>
                <w:sz w:val="20"/>
                <w:szCs w:val="20"/>
              </w:rPr>
            </w:pPr>
            <w:r>
              <w:rPr>
                <w:rFonts w:ascii="Arial" w:hAnsi="Arial"/>
                <w:sz w:val="20"/>
                <w:szCs w:val="20"/>
                <w:lang w:val="it-IT"/>
              </w:rPr>
              <w:t>Il PUMS prevede un sistema di riordino e di riqualificazione della rete stradale urbana che si basa sulla combinazione della regolazione per “fasce concentriche” e dello sviluppo dei “raggi” di mobilità sostenibile, ovvero l’attuazione di interventi sui principali assi di accesso al centro storico di riqualificazione e di ridisegno delle funzioni di mobilità.</w:t>
            </w:r>
          </w:p>
          <w:p>
            <w:pPr>
              <w:pStyle w:val="Corpo"/>
              <w:bidi w:val="0"/>
              <w:spacing w:before="0" w:after="113"/>
              <w:ind w:left="0" w:right="0" w:hanging="0"/>
              <w:jc w:val="both"/>
              <w:rPr>
                <w:sz w:val="20"/>
                <w:szCs w:val="20"/>
              </w:rPr>
            </w:pPr>
            <w:r>
              <w:rPr>
                <w:rFonts w:ascii="Arial" w:hAnsi="Arial"/>
                <w:sz w:val="20"/>
                <w:szCs w:val="20"/>
                <w:lang w:val="it-IT"/>
              </w:rPr>
              <w:t>Oggetto dello studio sarà un approfondimento progettuale per la riqualificazione di alcuni importanti  assi stradali di accesso alla città e i relativi nodi di innesto sulla circonvallazione e accesso al centro:</w:t>
            </w:r>
          </w:p>
          <w:p>
            <w:pPr>
              <w:pStyle w:val="Corpo"/>
              <w:numPr>
                <w:ilvl w:val="0"/>
                <w:numId w:val="3"/>
              </w:numPr>
              <w:bidi w:val="0"/>
              <w:spacing w:before="0" w:after="0"/>
              <w:ind w:left="174" w:right="0" w:hanging="174"/>
              <w:jc w:val="both"/>
              <w:rPr>
                <w:rFonts w:ascii="Arial" w:hAnsi="Arial" w:eastAsia="Calibri" w:cs="Calibri"/>
                <w:b w:val="false"/>
                <w:b w:val="false"/>
                <w:bCs w:val="false"/>
                <w:i w:val="false"/>
                <w:i w:val="false"/>
                <w:iCs w:val="false"/>
                <w:caps w:val="false"/>
                <w:smallCaps w:val="false"/>
                <w:strike w:val="false"/>
                <w:dstrike w:val="false"/>
                <w:outline w:val="false"/>
                <w:color w:val="000000"/>
                <w:spacing w:val="0"/>
                <w:kern w:val="0"/>
                <w:position w:val="0"/>
                <w:sz w:val="20"/>
                <w:sz w:val="20"/>
                <w:szCs w:val="20"/>
                <w:u w:val="none" w:color="000000"/>
                <w:vertAlign w:val="baseline"/>
                <w:lang w:val="it-IT"/>
                <w14:textOutline>
                  <w14:noFill/>
                </w14:textOutline>
                <w14:textFill>
                  <w14:solidFill>
                    <w14:srgbClr w14:val="000000"/>
                  </w14:solidFill>
                </w14:textFill>
              </w:rPr>
            </w:pPr>
            <w:r>
              <w:rPr>
                <w:rFonts w:eastAsia="Calibri" w:cs="Calibri" w:ascii="Arial" w:hAnsi="Arial"/>
                <w:b w:val="false"/>
                <w:bCs w:val="false"/>
                <w:i w:val="false"/>
                <w:iCs w:val="false"/>
                <w:caps w:val="false"/>
                <w:smallCaps w:val="false"/>
                <w:strike w:val="false"/>
                <w:dstrike w:val="false"/>
                <w:outline w:val="false"/>
                <w:color w:val="000000"/>
                <w:spacing w:val="0"/>
                <w:kern w:val="0"/>
                <w:position w:val="0"/>
                <w:sz w:val="20"/>
                <w:sz w:val="20"/>
                <w:szCs w:val="20"/>
                <w:u w:val="none" w:color="000000"/>
                <w:vertAlign w:val="baseline"/>
                <w:lang w:val="it-IT"/>
                <w14:textOutline>
                  <w14:noFill/>
                </w14:textOutline>
                <w14:textFill>
                  <w14:solidFill>
                    <w14:srgbClr w14:val="000000"/>
                  </w14:solidFill>
                </w14:textFill>
              </w:rPr>
              <w:t>l’ingresso da ovest - il sistema viale Magenta/via Gorizia, via Premuda/via Beretti;</w:t>
            </w:r>
          </w:p>
          <w:p>
            <w:pPr>
              <w:pStyle w:val="Corpo"/>
              <w:numPr>
                <w:ilvl w:val="0"/>
                <w:numId w:val="3"/>
              </w:numPr>
              <w:bidi w:val="0"/>
              <w:spacing w:before="0" w:after="0"/>
              <w:ind w:left="174" w:right="0" w:hanging="174"/>
              <w:jc w:val="both"/>
              <w:rPr>
                <w:rFonts w:ascii="Arial" w:hAnsi="Arial" w:eastAsia="Calibri" w:cs="Calibri"/>
                <w:b w:val="false"/>
                <w:b w:val="false"/>
                <w:bCs w:val="false"/>
                <w:i w:val="false"/>
                <w:i w:val="false"/>
                <w:iCs w:val="false"/>
                <w:caps w:val="false"/>
                <w:smallCaps w:val="false"/>
                <w:strike w:val="false"/>
                <w:dstrike w:val="false"/>
                <w:outline w:val="false"/>
                <w:color w:val="000000"/>
                <w:spacing w:val="0"/>
                <w:kern w:val="0"/>
                <w:position w:val="0"/>
                <w:sz w:val="20"/>
                <w:sz w:val="20"/>
                <w:szCs w:val="20"/>
                <w:u w:val="none" w:color="000000"/>
                <w:vertAlign w:val="baseline"/>
                <w:lang w:val="it-IT"/>
                <w14:textOutline>
                  <w14:noFill/>
                </w14:textOutline>
                <w14:textFill>
                  <w14:solidFill>
                    <w14:srgbClr w14:val="000000"/>
                  </w14:solidFill>
                </w14:textFill>
              </w:rPr>
            </w:pPr>
            <w:r>
              <w:rPr>
                <w:rFonts w:eastAsia="Calibri" w:cs="Calibri" w:ascii="Arial" w:hAnsi="Arial"/>
                <w:b w:val="false"/>
                <w:bCs w:val="false"/>
                <w:i w:val="false"/>
                <w:iCs w:val="false"/>
                <w:caps w:val="false"/>
                <w:smallCaps w:val="false"/>
                <w:strike w:val="false"/>
                <w:dstrike w:val="false"/>
                <w:outline w:val="false"/>
                <w:color w:val="000000"/>
                <w:spacing w:val="0"/>
                <w:kern w:val="0"/>
                <w:position w:val="0"/>
                <w:sz w:val="20"/>
                <w:sz w:val="20"/>
                <w:szCs w:val="20"/>
                <w:u w:val="none" w:color="000000"/>
                <w:vertAlign w:val="baseline"/>
                <w:lang w:val="it-IT"/>
                <w14:textOutline>
                  <w14:noFill/>
                </w14:textOutline>
                <w14:textFill>
                  <w14:solidFill>
                    <w14:srgbClr w14:val="000000"/>
                  </w14:solidFill>
                </w14:textFill>
              </w:rPr>
              <w:t xml:space="preserve">l’ingresso da nord ovest - il sistema via Regina Margherita/via Gramsci; </w:t>
            </w:r>
          </w:p>
          <w:p>
            <w:pPr>
              <w:pStyle w:val="Corpo"/>
              <w:numPr>
                <w:ilvl w:val="0"/>
                <w:numId w:val="3"/>
              </w:numPr>
              <w:bidi w:val="0"/>
              <w:spacing w:before="0" w:after="0"/>
              <w:ind w:left="174" w:right="0" w:hanging="174"/>
              <w:jc w:val="both"/>
              <w:rPr>
                <w:sz w:val="20"/>
                <w:szCs w:val="20"/>
              </w:rPr>
            </w:pPr>
            <w:r>
              <w:rPr>
                <w:rFonts w:ascii="Arial" w:hAnsi="Arial"/>
                <w:sz w:val="20"/>
                <w:szCs w:val="20"/>
                <w:lang w:val="it-IT"/>
              </w:rPr>
              <w:t>l’ingresso da sud ovest - sistema via Cecati/via Lungocrostoli/via Guido da Baiso/via della Canalina</w:t>
            </w:r>
          </w:p>
          <w:p>
            <w:pPr>
              <w:pStyle w:val="Corpo"/>
              <w:numPr>
                <w:ilvl w:val="0"/>
                <w:numId w:val="3"/>
              </w:numPr>
              <w:bidi w:val="0"/>
              <w:spacing w:before="0" w:after="0"/>
              <w:ind w:left="174" w:right="0" w:hanging="174"/>
              <w:jc w:val="both"/>
              <w:rPr>
                <w:sz w:val="20"/>
                <w:szCs w:val="20"/>
              </w:rPr>
            </w:pPr>
            <w:r>
              <w:rPr>
                <w:rFonts w:ascii="Arial" w:hAnsi="Arial"/>
                <w:sz w:val="20"/>
                <w:szCs w:val="20"/>
                <w:lang w:val="it-IT"/>
              </w:rPr>
              <w:t>i tratti irrisolti degli ingressi da sud - ponte di San Pellegrino/via martiri della Bettola e viale Simonazzi;</w:t>
            </w:r>
          </w:p>
          <w:p>
            <w:pPr>
              <w:pStyle w:val="Corpo"/>
              <w:numPr>
                <w:ilvl w:val="0"/>
                <w:numId w:val="3"/>
              </w:numPr>
              <w:bidi w:val="0"/>
              <w:ind w:left="174" w:right="0" w:hanging="174"/>
              <w:jc w:val="both"/>
              <w:rPr>
                <w:sz w:val="20"/>
                <w:szCs w:val="20"/>
              </w:rPr>
            </w:pPr>
            <w:r>
              <w:rPr>
                <w:rFonts w:ascii="Arial" w:hAnsi="Arial"/>
                <w:sz w:val="20"/>
                <w:szCs w:val="20"/>
                <w:lang w:val="it-IT"/>
              </w:rPr>
              <w:t>l’ingresso da est - il sistema via Terrachini/via Cialdini e i tratti mancanti della via Emilia Ospizio.</w:t>
            </w:r>
          </w:p>
          <w:p>
            <w:pPr>
              <w:pStyle w:val="Corpo"/>
              <w:bidi w:val="0"/>
              <w:spacing w:lineRule="auto" w:line="276" w:before="0" w:after="113"/>
              <w:ind w:left="0" w:right="0" w:hanging="0"/>
              <w:jc w:val="both"/>
              <w:rPr>
                <w:rFonts w:ascii="Arial" w:hAnsi="Arial" w:cs="Arial"/>
                <w:color w:val="000000" w:themeColor="text1"/>
                <w:sz w:val="20"/>
                <w:szCs w:val="20"/>
              </w:rPr>
            </w:pPr>
            <w:r>
              <w:rPr>
                <w:rFonts w:cs="Arial" w:ascii="Arial" w:hAnsi="Arial"/>
                <w:color w:val="000000" w:themeColor="text1"/>
                <w:sz w:val="20"/>
                <w:szCs w:val="20"/>
                <w:lang w:val="it-IT"/>
              </w:rPr>
              <w:t>Lo studio, recuperando le analisi trasportistiche esistenti ed in corso, dovrà fare approfondimenti progettuali al fine di superare le criticità riscontrate in tali studi.</w:t>
            </w:r>
          </w:p>
        </w:tc>
        <w:tc>
          <w:tcPr>
            <w:tcW w:w="222" w:type="dxa"/>
            <w:tcBorders>
              <w:top w:val="nil"/>
              <w:left w:val="nil"/>
              <w:bottom w:val="nil"/>
              <w:right w:val="nil"/>
            </w:tcBorders>
            <w:shd w:color="auto" w:fill="auto" w:val="clear"/>
          </w:tcPr>
          <w:p>
            <w:pPr>
              <w:pStyle w:val="Normal"/>
              <w:spacing w:lineRule="auto" w:line="240" w:before="0" w:after="0"/>
              <w:rPr/>
            </w:pPr>
            <w:r>
              <w:rPr/>
            </w:r>
          </w:p>
        </w:tc>
      </w:tr>
    </w:tbl>
    <w:p>
      <w:pPr>
        <w:pStyle w:val="Normal"/>
        <w:spacing w:lineRule="auto" w:line="360" w:before="0" w:after="60"/>
        <w:jc w:val="center"/>
        <w:rPr>
          <w:rFonts w:ascii="Arial" w:hAnsi="Arial" w:cs="Arial"/>
          <w:b/>
          <w:b/>
          <w:sz w:val="24"/>
          <w:szCs w:val="24"/>
        </w:rPr>
      </w:pPr>
      <w:r>
        <w:rPr>
          <w:rFonts w:cs="Arial" w:ascii="Arial" w:hAnsi="Arial"/>
          <w:b/>
          <w:sz w:val="24"/>
          <w:szCs w:val="24"/>
        </w:rPr>
      </w:r>
      <w:r>
        <w:br w:type="page"/>
      </w:r>
    </w:p>
    <w:p>
      <w:pPr>
        <w:pStyle w:val="Normal"/>
        <w:spacing w:lineRule="auto" w:line="360" w:before="0" w:after="60"/>
        <w:jc w:val="center"/>
        <w:rPr/>
      </w:pPr>
      <w:r>
        <w:rPr/>
      </w:r>
    </w:p>
    <w:tbl>
      <w:tblPr>
        <w:tblStyle w:val="Grigliatabella"/>
        <w:tblW w:w="9776" w:type="dxa"/>
        <w:jc w:val="left"/>
        <w:tblInd w:w="-108" w:type="dxa"/>
        <w:tblCellMar>
          <w:top w:w="0" w:type="dxa"/>
          <w:left w:w="108" w:type="dxa"/>
          <w:bottom w:w="0" w:type="dxa"/>
          <w:right w:w="108" w:type="dxa"/>
        </w:tblCellMar>
        <w:tblLook w:firstRow="1" w:noVBand="1" w:lastRow="0" w:firstColumn="1" w:lastColumn="0" w:noHBand="0" w:val="04a0"/>
      </w:tblPr>
      <w:tblGrid>
        <w:gridCol w:w="421"/>
        <w:gridCol w:w="9354"/>
      </w:tblGrid>
      <w:tr>
        <w:trPr/>
        <w:tc>
          <w:tcPr>
            <w:tcW w:w="9775" w:type="dxa"/>
            <w:gridSpan w:val="2"/>
            <w:tcBorders>
              <w:top w:val="nil"/>
              <w:left w:val="nil"/>
              <w:bottom w:val="nil"/>
              <w:right w:val="nil"/>
            </w:tcBorders>
            <w:shd w:fill="auto" w:val="clear"/>
          </w:tcPr>
          <w:p>
            <w:pPr>
              <w:pStyle w:val="Normal"/>
              <w:spacing w:lineRule="auto" w:line="240" w:before="0" w:after="60"/>
              <w:ind w:right="-110" w:hanging="0"/>
              <w:jc w:val="both"/>
              <w:rPr/>
            </w:pPr>
            <w:r>
              <w:rPr>
                <w:rFonts w:cs="Arial" w:ascii="Arial" w:hAnsi="Arial"/>
                <w:i/>
                <w:sz w:val="28"/>
                <w:szCs w:val="28"/>
                <w:u w:val="single"/>
              </w:rPr>
              <w:t>Qualora l’Ente beneficiario sia una Città metropolitana o un Comune</w:t>
            </w:r>
            <w:r>
              <w:rPr>
                <w:rFonts w:cs="Arial" w:ascii="Arial" w:hAnsi="Arial"/>
                <w:i/>
                <w:sz w:val="28"/>
                <w:szCs w:val="28"/>
              </w:rPr>
              <w:t>:</w:t>
            </w:r>
          </w:p>
        </w:tc>
      </w:tr>
      <w:tr>
        <w:trPr/>
        <w:tc>
          <w:tcPr>
            <w:tcW w:w="421" w:type="dxa"/>
            <w:tcBorders/>
            <w:shd w:fill="auto" w:val="clear"/>
          </w:tcPr>
          <w:p>
            <w:pPr>
              <w:pStyle w:val="Normal"/>
              <w:spacing w:lineRule="auto" w:line="240" w:before="0" w:after="120"/>
              <w:jc w:val="both"/>
              <w:rPr>
                <w:rFonts w:ascii="Arial" w:hAnsi="Arial" w:cs="Arial"/>
                <w:color w:val="000000" w:themeColor="text1"/>
              </w:rPr>
            </w:pPr>
            <w:r>
              <w:rPr>
                <w:rFonts w:cs="Arial" w:ascii="Arial" w:hAnsi="Arial"/>
                <w:color w:val="000000" w:themeColor="text1"/>
              </w:rPr>
              <w:t>X</w:t>
            </w:r>
          </w:p>
        </w:tc>
        <w:tc>
          <w:tcPr>
            <w:tcW w:w="9354" w:type="dxa"/>
            <w:vMerge w:val="restart"/>
            <w:tcBorders>
              <w:top w:val="nil"/>
              <w:bottom w:val="nil"/>
              <w:right w:val="nil"/>
            </w:tcBorders>
            <w:shd w:fill="auto" w:val="clear"/>
          </w:tcPr>
          <w:p>
            <w:pPr>
              <w:pStyle w:val="Normal"/>
              <w:tabs>
                <w:tab w:val="clear" w:pos="408"/>
                <w:tab w:val="left" w:pos="3600" w:leader="none"/>
              </w:tabs>
              <w:spacing w:lineRule="auto" w:line="240" w:before="0" w:after="120"/>
              <w:jc w:val="both"/>
              <w:rPr>
                <w:rFonts w:ascii="Arial" w:hAnsi="Arial" w:cs="Arial"/>
              </w:rPr>
            </w:pPr>
            <w:r>
              <w:rPr>
                <w:rFonts w:cs="Arial" w:ascii="Arial" w:hAnsi="Arial"/>
              </w:rPr>
              <w:t>La presente Proposta si riferisce al Piano urbano per la mobilità sostenibile (PUMS) coerentemente con il decreto del Ministro delle infrastrutture e dei trasporti 4 agosto 2017, n. 397.</w:t>
            </w:r>
          </w:p>
        </w:tc>
      </w:tr>
      <w:tr>
        <w:trPr>
          <w:trHeight w:val="388" w:hRule="atLeast"/>
        </w:trPr>
        <w:tc>
          <w:tcPr>
            <w:tcW w:w="421" w:type="dxa"/>
            <w:tcBorders>
              <w:left w:val="nil"/>
              <w:right w:val="nil"/>
            </w:tcBorders>
            <w:shd w:fill="auto" w:val="clear"/>
          </w:tcPr>
          <w:p>
            <w:pPr>
              <w:pStyle w:val="Normal"/>
              <w:spacing w:lineRule="auto" w:line="240" w:before="0" w:after="120"/>
              <w:jc w:val="both"/>
              <w:rPr>
                <w:rFonts w:ascii="Arial" w:hAnsi="Arial" w:cs="Arial"/>
                <w:color w:val="000000" w:themeColor="text1"/>
              </w:rPr>
            </w:pPr>
            <w:r>
              <w:rPr>
                <w:rFonts w:cs="Arial" w:ascii="Arial" w:hAnsi="Arial"/>
                <w:color w:val="000000" w:themeColor="text1"/>
              </w:rPr>
            </w:r>
          </w:p>
        </w:tc>
        <w:tc>
          <w:tcPr>
            <w:tcW w:w="9354" w:type="dxa"/>
            <w:vMerge w:val="continue"/>
            <w:tcBorders>
              <w:top w:val="nil"/>
              <w:left w:val="nil"/>
              <w:bottom w:val="nil"/>
              <w:right w:val="nil"/>
            </w:tcBorders>
            <w:shd w:fill="auto" w:val="clear"/>
          </w:tcPr>
          <w:p>
            <w:pPr>
              <w:pStyle w:val="Normal"/>
              <w:spacing w:lineRule="auto" w:line="240" w:before="0" w:after="120"/>
              <w:jc w:val="both"/>
              <w:rPr>
                <w:rFonts w:ascii="Arial" w:hAnsi="Arial" w:cs="Arial"/>
                <w:color w:val="000000" w:themeColor="text1"/>
              </w:rPr>
            </w:pPr>
            <w:r>
              <w:rPr>
                <w:rFonts w:cs="Arial" w:ascii="Arial" w:hAnsi="Arial"/>
                <w:color w:val="000000" w:themeColor="text1"/>
              </w:rPr>
            </w:r>
          </w:p>
        </w:tc>
      </w:tr>
      <w:tr>
        <w:trPr/>
        <w:tc>
          <w:tcPr>
            <w:tcW w:w="421" w:type="dxa"/>
            <w:tcBorders/>
            <w:shd w:fill="auto" w:val="clear"/>
          </w:tcPr>
          <w:p>
            <w:pPr>
              <w:pStyle w:val="Normal"/>
              <w:spacing w:lineRule="auto" w:line="240" w:before="0" w:after="120"/>
              <w:jc w:val="both"/>
              <w:rPr>
                <w:rFonts w:ascii="Arial" w:hAnsi="Arial" w:cs="Arial"/>
                <w:color w:val="000000" w:themeColor="text1"/>
              </w:rPr>
            </w:pPr>
            <w:r>
              <w:rPr>
                <w:rFonts w:cs="Arial" w:ascii="Arial" w:hAnsi="Arial"/>
                <w:color w:val="000000" w:themeColor="text1"/>
              </w:rPr>
            </w:r>
          </w:p>
        </w:tc>
        <w:tc>
          <w:tcPr>
            <w:tcW w:w="9354" w:type="dxa"/>
            <w:vMerge w:val="restart"/>
            <w:tcBorders>
              <w:top w:val="nil"/>
              <w:bottom w:val="nil"/>
              <w:right w:val="nil"/>
            </w:tcBorders>
            <w:shd w:fill="auto" w:val="clear"/>
          </w:tcPr>
          <w:p>
            <w:pPr>
              <w:pStyle w:val="Normal"/>
              <w:tabs>
                <w:tab w:val="clear" w:pos="408"/>
                <w:tab w:val="left" w:pos="3600" w:leader="none"/>
              </w:tabs>
              <w:spacing w:lineRule="auto" w:line="240" w:before="0" w:after="120"/>
              <w:jc w:val="both"/>
              <w:rPr/>
            </w:pPr>
            <w:r>
              <w:rPr>
                <w:rFonts w:cs="Arial" w:ascii="Arial" w:hAnsi="Arial"/>
              </w:rPr>
              <w:t>La presente Proposta si riferisce al Piano strategico triennale del territorio metropolitano (PSM).</w:t>
            </w:r>
          </w:p>
          <w:p>
            <w:pPr>
              <w:pStyle w:val="Normal"/>
              <w:tabs>
                <w:tab w:val="clear" w:pos="408"/>
                <w:tab w:val="left" w:pos="3600" w:leader="none"/>
              </w:tabs>
              <w:spacing w:lineRule="auto" w:line="240" w:before="0" w:after="120"/>
              <w:jc w:val="both"/>
              <w:rPr>
                <w:rFonts w:ascii="Arial" w:hAnsi="Arial" w:cs="Arial"/>
              </w:rPr>
            </w:pPr>
            <w:r>
              <w:rPr>
                <w:rFonts w:cs="Arial" w:ascii="Arial" w:hAnsi="Arial"/>
              </w:rPr>
            </w:r>
          </w:p>
          <w:p>
            <w:pPr>
              <w:pStyle w:val="Normal"/>
              <w:tabs>
                <w:tab w:val="clear" w:pos="408"/>
                <w:tab w:val="left" w:pos="3600" w:leader="none"/>
              </w:tabs>
              <w:spacing w:lineRule="auto" w:line="240" w:before="0" w:after="120"/>
              <w:jc w:val="both"/>
              <w:rPr>
                <w:rFonts w:ascii="Arial" w:hAnsi="Arial" w:cs="Arial"/>
              </w:rPr>
            </w:pPr>
            <w:r>
              <w:rPr>
                <w:rFonts w:cs="Arial" w:ascii="Arial" w:hAnsi="Arial"/>
              </w:rPr>
            </w:r>
          </w:p>
        </w:tc>
      </w:tr>
      <w:tr>
        <w:trPr>
          <w:trHeight w:val="171" w:hRule="atLeast"/>
        </w:trPr>
        <w:tc>
          <w:tcPr>
            <w:tcW w:w="421" w:type="dxa"/>
            <w:tcBorders>
              <w:left w:val="nil"/>
              <w:bottom w:val="nil"/>
              <w:right w:val="nil"/>
            </w:tcBorders>
            <w:shd w:fill="auto" w:val="clear"/>
          </w:tcPr>
          <w:p>
            <w:pPr>
              <w:pStyle w:val="Normal"/>
              <w:spacing w:lineRule="auto" w:line="240" w:before="0" w:after="120"/>
              <w:jc w:val="both"/>
              <w:rPr>
                <w:rFonts w:ascii="Arial" w:hAnsi="Arial" w:cs="Arial"/>
                <w:color w:val="000000" w:themeColor="text1"/>
              </w:rPr>
            </w:pPr>
            <w:r>
              <w:rPr>
                <w:rFonts w:cs="Arial" w:ascii="Arial" w:hAnsi="Arial"/>
                <w:color w:val="000000" w:themeColor="text1"/>
              </w:rPr>
            </w:r>
          </w:p>
        </w:tc>
        <w:tc>
          <w:tcPr>
            <w:tcW w:w="9354" w:type="dxa"/>
            <w:vMerge w:val="continue"/>
            <w:tcBorders>
              <w:top w:val="nil"/>
              <w:left w:val="nil"/>
              <w:bottom w:val="nil"/>
              <w:right w:val="nil"/>
            </w:tcBorders>
            <w:shd w:fill="auto" w:val="clear"/>
          </w:tcPr>
          <w:p>
            <w:pPr>
              <w:pStyle w:val="Normal"/>
              <w:spacing w:lineRule="auto" w:line="240" w:before="0" w:after="120"/>
              <w:jc w:val="both"/>
              <w:rPr>
                <w:rFonts w:ascii="Arial" w:hAnsi="Arial" w:cs="Arial"/>
                <w:color w:val="000000" w:themeColor="text1"/>
              </w:rPr>
            </w:pPr>
            <w:r>
              <w:rPr>
                <w:rFonts w:cs="Arial" w:ascii="Arial" w:hAnsi="Arial"/>
                <w:color w:val="000000" w:themeColor="text1"/>
              </w:rPr>
            </w:r>
          </w:p>
        </w:tc>
      </w:tr>
      <w:tr>
        <w:trPr/>
        <w:tc>
          <w:tcPr>
            <w:tcW w:w="421" w:type="dxa"/>
            <w:tcBorders>
              <w:top w:val="nil"/>
              <w:left w:val="nil"/>
              <w:right w:val="nil"/>
            </w:tcBorders>
            <w:shd w:fill="auto" w:val="clear"/>
          </w:tcPr>
          <w:p>
            <w:pPr>
              <w:pStyle w:val="Normal"/>
              <w:spacing w:lineRule="auto" w:line="240" w:before="0" w:after="120"/>
              <w:jc w:val="both"/>
              <w:rPr>
                <w:rFonts w:ascii="Arial" w:hAnsi="Arial" w:cs="Arial"/>
                <w:color w:val="000000" w:themeColor="text1"/>
              </w:rPr>
            </w:pPr>
            <w:r>
              <w:rPr>
                <w:rFonts w:cs="Arial" w:ascii="Arial" w:hAnsi="Arial"/>
                <w:color w:val="000000" w:themeColor="text1"/>
              </w:rPr>
            </w:r>
          </w:p>
        </w:tc>
        <w:tc>
          <w:tcPr>
            <w:tcW w:w="9354" w:type="dxa"/>
            <w:vMerge w:val="restart"/>
            <w:tcBorders>
              <w:top w:val="nil"/>
              <w:left w:val="nil"/>
              <w:bottom w:val="nil"/>
              <w:right w:val="nil"/>
            </w:tcBorders>
            <w:shd w:fill="auto" w:val="clear"/>
          </w:tcPr>
          <w:p>
            <w:pPr>
              <w:pStyle w:val="Normal"/>
              <w:spacing w:lineRule="auto" w:line="240" w:before="0" w:after="120"/>
              <w:ind w:left="-100" w:hanging="0"/>
              <w:rPr>
                <w:rFonts w:ascii="Arial" w:hAnsi="Arial" w:cs="Arial"/>
                <w:i/>
                <w:i/>
              </w:rPr>
            </w:pPr>
            <w:r>
              <w:rPr>
                <w:rFonts w:cs="Arial" w:ascii="Arial" w:hAnsi="Arial"/>
                <w:i/>
              </w:rPr>
              <w:t xml:space="preserve">Questa Città metropolitana / Comune </w:t>
            </w:r>
          </w:p>
          <w:p>
            <w:pPr>
              <w:pStyle w:val="Normal"/>
              <w:tabs>
                <w:tab w:val="clear" w:pos="408"/>
                <w:tab w:val="left" w:pos="3600" w:leader="none"/>
              </w:tabs>
              <w:spacing w:lineRule="auto" w:line="240" w:before="0" w:after="120"/>
              <w:jc w:val="both"/>
              <w:rPr>
                <w:rFonts w:ascii="Arial" w:hAnsi="Arial" w:cs="Arial"/>
              </w:rPr>
            </w:pPr>
            <w:r>
              <w:rPr>
                <w:rFonts w:cs="Arial" w:ascii="Arial" w:hAnsi="Arial"/>
              </w:rPr>
              <w:t>ha già redatto o adottato, per quanto di propria competenza, il PUMS o il PSM.</w:t>
            </w:r>
          </w:p>
          <w:p>
            <w:pPr>
              <w:pStyle w:val="Normal"/>
              <w:tabs>
                <w:tab w:val="clear" w:pos="408"/>
                <w:tab w:val="left" w:pos="3600" w:leader="none"/>
              </w:tabs>
              <w:spacing w:lineRule="auto" w:line="240" w:before="0" w:after="120"/>
              <w:jc w:val="both"/>
              <w:rPr>
                <w:rFonts w:ascii="Arial" w:hAnsi="Arial" w:cs="Arial"/>
              </w:rPr>
            </w:pPr>
            <w:r>
              <w:rPr>
                <w:rFonts w:cs="Arial" w:ascii="Arial" w:hAnsi="Arial"/>
              </w:rPr>
            </w:r>
          </w:p>
          <w:p>
            <w:pPr>
              <w:pStyle w:val="Normal"/>
              <w:tabs>
                <w:tab w:val="clear" w:pos="408"/>
                <w:tab w:val="left" w:pos="3600" w:leader="none"/>
              </w:tabs>
              <w:spacing w:lineRule="auto" w:line="240" w:before="0" w:after="120"/>
              <w:jc w:val="both"/>
              <w:rPr>
                <w:rFonts w:ascii="Arial" w:hAnsi="Arial" w:cs="Arial"/>
                <w:color w:val="000000" w:themeColor="text1"/>
              </w:rPr>
            </w:pPr>
            <w:r>
              <w:rPr>
                <w:rFonts w:cs="Arial" w:ascii="Arial" w:hAnsi="Arial"/>
                <w:color w:val="000000" w:themeColor="text1"/>
              </w:rPr>
              <w:t>ha già affidato l’incarico per la loro redazione, fino al giorno 5 ottobre 2017 compreso.</w:t>
            </w:r>
          </w:p>
        </w:tc>
      </w:tr>
      <w:tr>
        <w:trPr/>
        <w:tc>
          <w:tcPr>
            <w:tcW w:w="421" w:type="dxa"/>
            <w:tcBorders/>
            <w:shd w:fill="auto" w:val="clear"/>
          </w:tcPr>
          <w:p>
            <w:pPr>
              <w:pStyle w:val="Normal"/>
              <w:spacing w:lineRule="auto" w:line="240" w:before="0" w:after="120"/>
              <w:jc w:val="both"/>
              <w:rPr>
                <w:rFonts w:ascii="Arial" w:hAnsi="Arial" w:cs="Arial"/>
                <w:color w:val="000000" w:themeColor="text1"/>
              </w:rPr>
            </w:pPr>
            <w:r>
              <w:rPr>
                <w:rFonts w:cs="Arial" w:ascii="Arial" w:hAnsi="Arial"/>
                <w:color w:val="000000" w:themeColor="text1"/>
              </w:rPr>
              <w:t>X</w:t>
            </w:r>
          </w:p>
        </w:tc>
        <w:tc>
          <w:tcPr>
            <w:tcW w:w="9354" w:type="dxa"/>
            <w:vMerge w:val="continue"/>
            <w:tcBorders>
              <w:top w:val="nil"/>
              <w:bottom w:val="nil"/>
              <w:right w:val="nil"/>
            </w:tcBorders>
            <w:shd w:fill="auto" w:val="clear"/>
          </w:tcPr>
          <w:p>
            <w:pPr>
              <w:pStyle w:val="Normal"/>
              <w:tabs>
                <w:tab w:val="clear" w:pos="408"/>
                <w:tab w:val="left" w:pos="3600" w:leader="none"/>
              </w:tabs>
              <w:spacing w:lineRule="auto" w:line="240" w:before="0" w:after="120"/>
              <w:jc w:val="both"/>
              <w:rPr>
                <w:rFonts w:ascii="Arial" w:hAnsi="Arial" w:cs="Arial"/>
                <w:color w:val="000000" w:themeColor="text1"/>
              </w:rPr>
            </w:pPr>
            <w:r>
              <w:rPr>
                <w:rFonts w:cs="Arial" w:ascii="Arial" w:hAnsi="Arial"/>
                <w:color w:val="000000" w:themeColor="text1"/>
              </w:rPr>
            </w:r>
          </w:p>
        </w:tc>
      </w:tr>
      <w:tr>
        <w:trPr/>
        <w:tc>
          <w:tcPr>
            <w:tcW w:w="421" w:type="dxa"/>
            <w:tcBorders>
              <w:left w:val="nil"/>
              <w:right w:val="nil"/>
            </w:tcBorders>
            <w:shd w:fill="auto" w:val="clear"/>
          </w:tcPr>
          <w:p>
            <w:pPr>
              <w:pStyle w:val="Normal"/>
              <w:spacing w:lineRule="auto" w:line="240" w:before="0" w:after="120"/>
              <w:jc w:val="both"/>
              <w:rPr>
                <w:rFonts w:ascii="Arial" w:hAnsi="Arial" w:cs="Arial"/>
                <w:color w:val="000000" w:themeColor="text1"/>
              </w:rPr>
            </w:pPr>
            <w:r>
              <w:rPr>
                <w:rFonts w:cs="Arial" w:ascii="Arial" w:hAnsi="Arial"/>
                <w:color w:val="000000" w:themeColor="text1"/>
              </w:rPr>
            </w:r>
          </w:p>
        </w:tc>
        <w:tc>
          <w:tcPr>
            <w:tcW w:w="9354" w:type="dxa"/>
            <w:vMerge w:val="continue"/>
            <w:tcBorders>
              <w:top w:val="nil"/>
              <w:left w:val="nil"/>
              <w:bottom w:val="nil"/>
              <w:right w:val="nil"/>
            </w:tcBorders>
            <w:shd w:fill="auto" w:val="clear"/>
          </w:tcPr>
          <w:p>
            <w:pPr>
              <w:pStyle w:val="Normal"/>
              <w:tabs>
                <w:tab w:val="clear" w:pos="408"/>
                <w:tab w:val="left" w:pos="3600" w:leader="none"/>
              </w:tabs>
              <w:spacing w:lineRule="auto" w:line="240" w:before="0" w:after="120"/>
              <w:jc w:val="both"/>
              <w:rPr>
                <w:rFonts w:ascii="Arial" w:hAnsi="Arial" w:cs="Arial"/>
                <w:color w:val="000000" w:themeColor="text1"/>
              </w:rPr>
            </w:pPr>
            <w:r>
              <w:rPr>
                <w:rFonts w:cs="Arial" w:ascii="Arial" w:hAnsi="Arial"/>
                <w:color w:val="000000" w:themeColor="text1"/>
              </w:rPr>
            </w:r>
          </w:p>
        </w:tc>
      </w:tr>
      <w:tr>
        <w:trPr/>
        <w:tc>
          <w:tcPr>
            <w:tcW w:w="421" w:type="dxa"/>
            <w:tcBorders/>
            <w:shd w:fill="auto" w:val="clear"/>
          </w:tcPr>
          <w:p>
            <w:pPr>
              <w:pStyle w:val="Normal"/>
              <w:spacing w:lineRule="auto" w:line="240" w:before="0" w:after="60"/>
              <w:jc w:val="both"/>
              <w:rPr>
                <w:rFonts w:ascii="Arial" w:hAnsi="Arial" w:cs="Arial"/>
                <w:color w:val="000000" w:themeColor="text1"/>
              </w:rPr>
            </w:pPr>
            <w:r>
              <w:rPr>
                <w:rFonts w:cs="Arial" w:ascii="Arial" w:hAnsi="Arial"/>
                <w:color w:val="000000" w:themeColor="text1"/>
              </w:rPr>
              <w:t>X</w:t>
            </w:r>
          </w:p>
        </w:tc>
        <w:tc>
          <w:tcPr>
            <w:tcW w:w="9354" w:type="dxa"/>
            <w:vMerge w:val="continue"/>
            <w:tcBorders>
              <w:top w:val="nil"/>
              <w:bottom w:val="nil"/>
              <w:right w:val="nil"/>
            </w:tcBorders>
            <w:shd w:fill="auto" w:val="clear"/>
          </w:tcPr>
          <w:p>
            <w:pPr>
              <w:pStyle w:val="Normal"/>
              <w:spacing w:lineRule="auto" w:line="240" w:before="0" w:after="60"/>
              <w:jc w:val="both"/>
              <w:rPr>
                <w:rFonts w:ascii="Arial" w:hAnsi="Arial" w:cs="Arial"/>
                <w:color w:val="000000" w:themeColor="text1"/>
              </w:rPr>
            </w:pPr>
            <w:r>
              <w:rPr>
                <w:rFonts w:cs="Arial" w:ascii="Arial" w:hAnsi="Arial"/>
                <w:color w:val="000000" w:themeColor="text1"/>
              </w:rPr>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bl>
      <w:tblPr>
        <w:tblStyle w:val="Grigliatabella"/>
        <w:tblW w:w="9776" w:type="dxa"/>
        <w:jc w:val="left"/>
        <w:tblInd w:w="-108" w:type="dxa"/>
        <w:tblCellMar>
          <w:top w:w="0" w:type="dxa"/>
          <w:left w:w="108" w:type="dxa"/>
          <w:bottom w:w="0" w:type="dxa"/>
          <w:right w:w="108" w:type="dxa"/>
        </w:tblCellMar>
        <w:tblLook w:firstRow="1" w:noVBand="1" w:lastRow="0" w:firstColumn="1" w:lastColumn="0" w:noHBand="0" w:val="04a0"/>
      </w:tblPr>
      <w:tblGrid>
        <w:gridCol w:w="421"/>
        <w:gridCol w:w="9354"/>
      </w:tblGrid>
      <w:tr>
        <w:trPr/>
        <w:tc>
          <w:tcPr>
            <w:tcW w:w="9775" w:type="dxa"/>
            <w:gridSpan w:val="2"/>
            <w:tcBorders>
              <w:top w:val="nil"/>
              <w:left w:val="nil"/>
              <w:bottom w:val="nil"/>
              <w:right w:val="nil"/>
            </w:tcBorders>
            <w:shd w:fill="auto" w:val="clear"/>
          </w:tcPr>
          <w:p>
            <w:pPr>
              <w:pStyle w:val="Normal"/>
              <w:spacing w:lineRule="auto" w:line="240" w:before="0" w:after="120"/>
              <w:rPr>
                <w:rFonts w:ascii="Arial" w:hAnsi="Arial" w:cs="Arial"/>
                <w:i/>
                <w:i/>
              </w:rPr>
            </w:pPr>
            <w:r>
              <w:rPr>
                <w:rFonts w:cs="Arial" w:ascii="Arial" w:hAnsi="Arial"/>
                <w:i/>
              </w:rPr>
              <w:t xml:space="preserve">      </w:t>
            </w:r>
            <w:r>
              <w:rPr>
                <w:rFonts w:cs="Arial" w:ascii="Arial" w:hAnsi="Arial"/>
                <w:i/>
              </w:rPr>
              <w:t>Pertanto, la presente Proposta si riferisce:</w:t>
            </w:r>
          </w:p>
        </w:tc>
      </w:tr>
      <w:tr>
        <w:trPr/>
        <w:tc>
          <w:tcPr>
            <w:tcW w:w="421" w:type="dxa"/>
            <w:tcBorders/>
            <w:shd w:fill="auto" w:val="clear"/>
          </w:tcPr>
          <w:p>
            <w:pPr>
              <w:pStyle w:val="Normal"/>
              <w:spacing w:lineRule="auto" w:line="240" w:before="0" w:after="0"/>
              <w:jc w:val="both"/>
              <w:rPr>
                <w:rFonts w:ascii="Arial" w:hAnsi="Arial" w:cs="Arial"/>
                <w:color w:val="000000" w:themeColor="text1"/>
              </w:rPr>
            </w:pPr>
            <w:r>
              <w:rPr>
                <w:rFonts w:cs="Arial" w:ascii="Arial" w:hAnsi="Arial"/>
                <w:color w:val="000000" w:themeColor="text1"/>
              </w:rPr>
              <w:t>X</w:t>
            </w:r>
          </w:p>
        </w:tc>
        <w:tc>
          <w:tcPr>
            <w:tcW w:w="9354" w:type="dxa"/>
            <w:vMerge w:val="restart"/>
            <w:tcBorders>
              <w:top w:val="nil"/>
              <w:bottom w:val="nil"/>
              <w:right w:val="nil"/>
            </w:tcBorders>
            <w:shd w:fill="auto" w:val="clear"/>
          </w:tcPr>
          <w:p>
            <w:pPr>
              <w:pStyle w:val="Normal"/>
              <w:spacing w:lineRule="auto" w:line="240" w:before="0" w:after="0"/>
              <w:jc w:val="both"/>
              <w:rPr>
                <w:rFonts w:ascii="Arial" w:hAnsi="Arial" w:cs="Arial"/>
              </w:rPr>
            </w:pPr>
            <w:r>
              <w:rPr>
                <w:rFonts w:cs="Arial" w:ascii="Arial" w:hAnsi="Arial"/>
              </w:rPr>
              <w:t>alla predisposizione di Progetti di Fattibilità o di Project Review riferiti ad opere contenute in tali strumenti di pianificazione.</w:t>
            </w:r>
          </w:p>
        </w:tc>
      </w:tr>
      <w:tr>
        <w:trPr>
          <w:trHeight w:val="388" w:hRule="atLeast"/>
        </w:trPr>
        <w:tc>
          <w:tcPr>
            <w:tcW w:w="421" w:type="dxa"/>
            <w:tcBorders>
              <w:left w:val="nil"/>
              <w:right w:val="nil"/>
            </w:tcBorders>
            <w:shd w:fill="auto" w:val="clear"/>
          </w:tcPr>
          <w:p>
            <w:pPr>
              <w:pStyle w:val="Normal"/>
              <w:spacing w:lineRule="auto" w:line="240" w:before="0" w:after="0"/>
              <w:jc w:val="both"/>
              <w:rPr>
                <w:rFonts w:ascii="Arial" w:hAnsi="Arial" w:cs="Arial"/>
                <w:color w:val="000000" w:themeColor="text1"/>
              </w:rPr>
            </w:pPr>
            <w:r>
              <w:rPr>
                <w:rFonts w:cs="Arial" w:ascii="Arial" w:hAnsi="Arial"/>
                <w:color w:val="000000" w:themeColor="text1"/>
              </w:rPr>
            </w:r>
          </w:p>
        </w:tc>
        <w:tc>
          <w:tcPr>
            <w:tcW w:w="9354" w:type="dxa"/>
            <w:vMerge w:val="continue"/>
            <w:tcBorders>
              <w:top w:val="nil"/>
              <w:left w:val="nil"/>
              <w:bottom w:val="nil"/>
              <w:right w:val="nil"/>
            </w:tcBorders>
            <w:shd w:fill="auto" w:val="clear"/>
          </w:tcPr>
          <w:p>
            <w:pPr>
              <w:pStyle w:val="Normal"/>
              <w:spacing w:lineRule="auto" w:line="240" w:before="0" w:after="0"/>
              <w:jc w:val="both"/>
              <w:rPr>
                <w:rFonts w:ascii="Arial" w:hAnsi="Arial" w:cs="Arial"/>
                <w:color w:val="000000" w:themeColor="text1"/>
              </w:rPr>
            </w:pPr>
            <w:r>
              <w:rPr>
                <w:rFonts w:cs="Arial" w:ascii="Arial" w:hAnsi="Arial"/>
                <w:color w:val="000000" w:themeColor="text1"/>
              </w:rPr>
            </w:r>
          </w:p>
        </w:tc>
      </w:tr>
      <w:tr>
        <w:trPr/>
        <w:tc>
          <w:tcPr>
            <w:tcW w:w="421" w:type="dxa"/>
            <w:tcBorders/>
            <w:shd w:fill="auto" w:val="clear"/>
          </w:tcPr>
          <w:p>
            <w:pPr>
              <w:pStyle w:val="Normal"/>
              <w:spacing w:lineRule="auto" w:line="240" w:before="0" w:after="0"/>
              <w:jc w:val="both"/>
              <w:rPr>
                <w:rFonts w:ascii="Arial" w:hAnsi="Arial" w:cs="Arial"/>
                <w:color w:val="000000" w:themeColor="text1"/>
              </w:rPr>
            </w:pPr>
            <w:r>
              <w:rPr>
                <w:rFonts w:cs="Arial" w:ascii="Arial" w:hAnsi="Arial"/>
                <w:color w:val="000000" w:themeColor="text1"/>
              </w:rPr>
              <w:t>X</w:t>
            </w:r>
          </w:p>
        </w:tc>
        <w:tc>
          <w:tcPr>
            <w:tcW w:w="9354" w:type="dxa"/>
            <w:vMerge w:val="restart"/>
            <w:tcBorders>
              <w:top w:val="nil"/>
              <w:bottom w:val="nil"/>
              <w:right w:val="nil"/>
            </w:tcBorders>
            <w:shd w:fill="auto" w:val="clear"/>
          </w:tcPr>
          <w:p>
            <w:pPr>
              <w:pStyle w:val="Normal"/>
              <w:spacing w:lineRule="auto" w:line="240" w:before="0" w:after="0"/>
              <w:jc w:val="both"/>
              <w:rPr/>
            </w:pPr>
            <w:r>
              <w:rPr>
                <w:rFonts w:cs="Arial" w:ascii="Arial" w:hAnsi="Arial"/>
              </w:rPr>
              <w:t>alle attività di monitoraggio degli indicatori del PUMS già adottato.</w:t>
            </w:r>
          </w:p>
        </w:tc>
      </w:tr>
      <w:tr>
        <w:trPr>
          <w:trHeight w:val="156" w:hRule="atLeast"/>
        </w:trPr>
        <w:tc>
          <w:tcPr>
            <w:tcW w:w="421" w:type="dxa"/>
            <w:tcBorders>
              <w:left w:val="nil"/>
              <w:right w:val="nil"/>
            </w:tcBorders>
            <w:shd w:fill="auto" w:val="clear"/>
          </w:tcPr>
          <w:p>
            <w:pPr>
              <w:pStyle w:val="Normal"/>
              <w:spacing w:lineRule="auto" w:line="240" w:before="0" w:after="0"/>
              <w:jc w:val="both"/>
              <w:rPr>
                <w:rFonts w:ascii="Arial" w:hAnsi="Arial" w:cs="Arial"/>
                <w:color w:val="000000" w:themeColor="text1"/>
              </w:rPr>
            </w:pPr>
            <w:r>
              <w:rPr>
                <w:rFonts w:cs="Arial" w:ascii="Arial" w:hAnsi="Arial"/>
                <w:color w:val="000000" w:themeColor="text1"/>
              </w:rPr>
            </w:r>
          </w:p>
        </w:tc>
        <w:tc>
          <w:tcPr>
            <w:tcW w:w="9354" w:type="dxa"/>
            <w:vMerge w:val="continue"/>
            <w:tcBorders>
              <w:top w:val="nil"/>
              <w:left w:val="nil"/>
              <w:bottom w:val="nil"/>
              <w:right w:val="nil"/>
            </w:tcBorders>
            <w:shd w:fill="auto" w:val="clear"/>
          </w:tcPr>
          <w:p>
            <w:pPr>
              <w:pStyle w:val="Normal"/>
              <w:spacing w:lineRule="auto" w:line="240" w:before="0" w:after="0"/>
              <w:jc w:val="both"/>
              <w:rPr>
                <w:rFonts w:ascii="Arial" w:hAnsi="Arial" w:cs="Arial"/>
                <w:color w:val="000000" w:themeColor="text1"/>
              </w:rPr>
            </w:pPr>
            <w:r>
              <w:rPr>
                <w:rFonts w:cs="Arial" w:ascii="Arial" w:hAnsi="Arial"/>
                <w:color w:val="000000" w:themeColor="text1"/>
              </w:rPr>
            </w:r>
          </w:p>
        </w:tc>
      </w:tr>
      <w:tr>
        <w:trPr>
          <w:trHeight w:val="236" w:hRule="atLeast"/>
        </w:trPr>
        <w:tc>
          <w:tcPr>
            <w:tcW w:w="421" w:type="dxa"/>
            <w:tcBorders/>
            <w:shd w:fill="auto" w:val="clear"/>
          </w:tcPr>
          <w:p>
            <w:pPr>
              <w:pStyle w:val="Normal"/>
              <w:spacing w:lineRule="auto" w:line="240" w:before="0" w:after="0"/>
              <w:jc w:val="both"/>
              <w:rPr>
                <w:rFonts w:ascii="Arial" w:hAnsi="Arial" w:cs="Arial"/>
                <w:color w:val="000000" w:themeColor="text1"/>
              </w:rPr>
            </w:pPr>
            <w:r>
              <w:rPr>
                <w:rFonts w:cs="Arial" w:ascii="Arial" w:hAnsi="Arial"/>
                <w:color w:val="000000" w:themeColor="text1"/>
              </w:rPr>
            </w:r>
          </w:p>
        </w:tc>
        <w:tc>
          <w:tcPr>
            <w:tcW w:w="9354" w:type="dxa"/>
            <w:vMerge w:val="restart"/>
            <w:tcBorders>
              <w:top w:val="nil"/>
              <w:right w:val="nil"/>
            </w:tcBorders>
            <w:shd w:fill="auto" w:val="clear"/>
          </w:tcPr>
          <w:p>
            <w:pPr>
              <w:pStyle w:val="Normal"/>
              <w:tabs>
                <w:tab w:val="clear" w:pos="408"/>
                <w:tab w:val="left" w:pos="3600" w:leader="none"/>
              </w:tabs>
              <w:spacing w:lineRule="auto" w:line="240" w:before="0" w:after="0"/>
              <w:jc w:val="both"/>
              <w:rPr>
                <w:rFonts w:ascii="Arial" w:hAnsi="Arial" w:cs="Arial"/>
                <w:color w:val="000000" w:themeColor="text1"/>
              </w:rPr>
            </w:pPr>
            <w:r>
              <w:rPr>
                <w:rFonts w:cs="Arial" w:ascii="Arial" w:hAnsi="Arial"/>
                <w:color w:val="000000" w:themeColor="text1"/>
              </w:rPr>
              <w:t>ad opere di prioritario interesse nazionale, in coerenza con la nuova politica di pianificazione infrastrutturale e con priorità per i fabbisogni infrastrutturali individuati nell’Allegato ai Documenti di Economia e Finanza (DEF) 2017, 2018 e 2019.</w:t>
            </w:r>
          </w:p>
          <w:p>
            <w:pPr>
              <w:pStyle w:val="Normal"/>
              <w:tabs>
                <w:tab w:val="clear" w:pos="408"/>
                <w:tab w:val="left" w:pos="3600" w:leader="none"/>
              </w:tabs>
              <w:spacing w:lineRule="auto" w:line="240" w:before="0" w:after="0"/>
              <w:jc w:val="both"/>
              <w:rPr>
                <w:rFonts w:ascii="Arial" w:hAnsi="Arial" w:cs="Arial"/>
                <w:color w:val="000000" w:themeColor="text1"/>
              </w:rPr>
            </w:pPr>
            <w:r>
              <w:rPr>
                <w:rFonts w:cs="Arial" w:ascii="Arial" w:hAnsi="Arial"/>
                <w:color w:val="000000" w:themeColor="text1"/>
              </w:rPr>
            </w:r>
          </w:p>
        </w:tc>
      </w:tr>
      <w:tr>
        <w:trPr>
          <w:trHeight w:val="236" w:hRule="atLeast"/>
        </w:trPr>
        <w:tc>
          <w:tcPr>
            <w:tcW w:w="421" w:type="dxa"/>
            <w:tcBorders>
              <w:left w:val="nil"/>
              <w:right w:val="nil"/>
            </w:tcBorders>
            <w:shd w:fill="auto" w:val="clear"/>
          </w:tcPr>
          <w:p>
            <w:pPr>
              <w:pStyle w:val="Normal"/>
              <w:spacing w:lineRule="auto" w:line="240" w:before="0" w:after="0"/>
              <w:jc w:val="both"/>
              <w:rPr>
                <w:rFonts w:ascii="Arial" w:hAnsi="Arial" w:cs="Arial"/>
                <w:color w:val="000000" w:themeColor="text1"/>
              </w:rPr>
            </w:pPr>
            <w:r>
              <w:rPr>
                <w:rFonts w:cs="Arial" w:ascii="Arial" w:hAnsi="Arial"/>
                <w:color w:val="000000" w:themeColor="text1"/>
              </w:rPr>
            </w:r>
          </w:p>
        </w:tc>
        <w:tc>
          <w:tcPr>
            <w:tcW w:w="9354" w:type="dxa"/>
            <w:vMerge w:val="continue"/>
            <w:tcBorders>
              <w:left w:val="nil"/>
              <w:bottom w:val="nil"/>
              <w:right w:val="nil"/>
            </w:tcBorders>
            <w:shd w:fill="auto" w:val="clear"/>
          </w:tcPr>
          <w:p>
            <w:pPr>
              <w:pStyle w:val="Normal"/>
              <w:tabs>
                <w:tab w:val="clear" w:pos="408"/>
                <w:tab w:val="left" w:pos="3600" w:leader="none"/>
              </w:tabs>
              <w:spacing w:lineRule="auto" w:line="240" w:before="0" w:after="0"/>
              <w:jc w:val="both"/>
              <w:rPr>
                <w:rFonts w:ascii="Arial" w:hAnsi="Arial" w:cs="Arial"/>
                <w:color w:val="000000" w:themeColor="text1"/>
              </w:rPr>
            </w:pPr>
            <w:r>
              <w:rPr>
                <w:rFonts w:cs="Arial" w:ascii="Arial" w:hAnsi="Arial"/>
                <w:color w:val="000000" w:themeColor="text1"/>
              </w:rPr>
            </w:r>
          </w:p>
        </w:tc>
      </w:tr>
      <w:tr>
        <w:trPr/>
        <w:tc>
          <w:tcPr>
            <w:tcW w:w="421" w:type="dxa"/>
            <w:tcBorders/>
            <w:shd w:fill="auto" w:val="clear"/>
          </w:tcPr>
          <w:p>
            <w:pPr>
              <w:pStyle w:val="Normal"/>
              <w:spacing w:lineRule="auto" w:line="240" w:before="0" w:after="0"/>
              <w:jc w:val="both"/>
              <w:rPr>
                <w:rFonts w:ascii="Arial" w:hAnsi="Arial" w:cs="Arial"/>
                <w:color w:val="000000" w:themeColor="text1"/>
              </w:rPr>
            </w:pPr>
            <w:r>
              <w:rPr>
                <w:rFonts w:cs="Arial" w:ascii="Arial" w:hAnsi="Arial"/>
                <w:color w:val="000000" w:themeColor="text1"/>
              </w:rPr>
            </w:r>
          </w:p>
        </w:tc>
        <w:tc>
          <w:tcPr>
            <w:tcW w:w="9354" w:type="dxa"/>
            <w:vMerge w:val="restart"/>
            <w:tcBorders>
              <w:top w:val="nil"/>
              <w:bottom w:val="nil"/>
              <w:right w:val="nil"/>
            </w:tcBorders>
            <w:shd w:fill="auto" w:val="clear"/>
          </w:tcPr>
          <w:p>
            <w:pPr>
              <w:pStyle w:val="Normal"/>
              <w:spacing w:lineRule="auto" w:line="240" w:before="0" w:after="0"/>
              <w:jc w:val="both"/>
              <w:rPr>
                <w:rFonts w:ascii="Arial" w:hAnsi="Arial" w:cs="Arial"/>
                <w:color w:val="000000" w:themeColor="text1"/>
              </w:rPr>
            </w:pPr>
            <w:r>
              <w:rPr>
                <w:rFonts w:cs="Arial" w:ascii="Arial" w:hAnsi="Arial"/>
                <w:color w:val="000000" w:themeColor="text1"/>
              </w:rPr>
              <w:t>Le spese a valere sulla presente Proposta riguardano e/o riguarderanno esclusivamente contratti e obbligazioni giuridicamente vincolanti stipulati successivamente al 5 ottobre 2017, data della pubblicazione in Gazzetta Ufficiale del decreto del Ministro delle infrastrutture e dei trasporti n. 397 del 4 agosto 2017.</w:t>
            </w:r>
          </w:p>
          <w:p>
            <w:pPr>
              <w:pStyle w:val="Normal"/>
              <w:spacing w:lineRule="auto" w:line="240" w:before="0" w:after="0"/>
              <w:jc w:val="both"/>
              <w:rPr>
                <w:rFonts w:ascii="Arial" w:hAnsi="Arial" w:cs="Arial"/>
                <w:color w:val="000000" w:themeColor="text1"/>
              </w:rPr>
            </w:pPr>
            <w:r>
              <w:rPr>
                <w:rFonts w:cs="Arial" w:ascii="Arial" w:hAnsi="Arial"/>
                <w:color w:val="000000" w:themeColor="text1"/>
              </w:rPr>
            </w:r>
          </w:p>
        </w:tc>
      </w:tr>
      <w:tr>
        <w:trPr>
          <w:trHeight w:val="388" w:hRule="atLeast"/>
        </w:trPr>
        <w:tc>
          <w:tcPr>
            <w:tcW w:w="421" w:type="dxa"/>
            <w:tcBorders>
              <w:left w:val="nil"/>
              <w:right w:val="nil"/>
            </w:tcBorders>
            <w:shd w:fill="auto" w:val="clear"/>
          </w:tcPr>
          <w:p>
            <w:pPr>
              <w:pStyle w:val="Normal"/>
              <w:spacing w:lineRule="auto" w:line="240" w:before="0" w:after="0"/>
              <w:jc w:val="both"/>
              <w:rPr>
                <w:rFonts w:ascii="Arial" w:hAnsi="Arial" w:cs="Arial"/>
                <w:color w:val="000000" w:themeColor="text1"/>
              </w:rPr>
            </w:pPr>
            <w:r>
              <w:rPr>
                <w:rFonts w:cs="Arial" w:ascii="Arial" w:hAnsi="Arial"/>
                <w:color w:val="000000" w:themeColor="text1"/>
              </w:rPr>
            </w:r>
          </w:p>
        </w:tc>
        <w:tc>
          <w:tcPr>
            <w:tcW w:w="9354" w:type="dxa"/>
            <w:vMerge w:val="continue"/>
            <w:tcBorders>
              <w:top w:val="nil"/>
              <w:left w:val="nil"/>
              <w:bottom w:val="nil"/>
              <w:right w:val="nil"/>
            </w:tcBorders>
            <w:shd w:fill="auto" w:val="clear"/>
          </w:tcPr>
          <w:p>
            <w:pPr>
              <w:pStyle w:val="Normal"/>
              <w:spacing w:lineRule="auto" w:line="240" w:before="0" w:after="0"/>
              <w:jc w:val="both"/>
              <w:rPr>
                <w:rFonts w:ascii="Arial" w:hAnsi="Arial" w:cs="Arial"/>
                <w:color w:val="000000" w:themeColor="text1"/>
              </w:rPr>
            </w:pPr>
            <w:r>
              <w:rPr>
                <w:rFonts w:cs="Arial" w:ascii="Arial" w:hAnsi="Arial"/>
                <w:color w:val="000000" w:themeColor="text1"/>
              </w:rPr>
            </w:r>
          </w:p>
        </w:tc>
      </w:tr>
      <w:tr>
        <w:trPr/>
        <w:tc>
          <w:tcPr>
            <w:tcW w:w="421" w:type="dxa"/>
            <w:tcBorders/>
            <w:shd w:fill="auto" w:val="clear"/>
          </w:tcPr>
          <w:p>
            <w:pPr>
              <w:pStyle w:val="Normal"/>
              <w:spacing w:lineRule="auto" w:line="240" w:before="0" w:after="120"/>
              <w:jc w:val="both"/>
              <w:rPr>
                <w:rFonts w:ascii="Arial" w:hAnsi="Arial" w:cs="Arial"/>
                <w:color w:val="000000" w:themeColor="text1"/>
              </w:rPr>
            </w:pPr>
            <w:r>
              <w:rPr>
                <w:rFonts w:cs="Arial" w:ascii="Arial" w:hAnsi="Arial"/>
                <w:color w:val="000000" w:themeColor="text1"/>
              </w:rPr>
              <w:t>X</w:t>
            </w:r>
          </w:p>
        </w:tc>
        <w:tc>
          <w:tcPr>
            <w:tcW w:w="9354" w:type="dxa"/>
            <w:tcBorders>
              <w:top w:val="nil"/>
              <w:bottom w:val="nil"/>
              <w:right w:val="nil"/>
            </w:tcBorders>
            <w:shd w:fill="auto" w:val="clear"/>
          </w:tcPr>
          <w:p>
            <w:pPr>
              <w:pStyle w:val="Normal"/>
              <w:spacing w:lineRule="auto" w:line="240" w:before="0" w:after="60"/>
              <w:jc w:val="both"/>
              <w:rPr>
                <w:rFonts w:ascii="Arial" w:hAnsi="Arial" w:cs="Arial"/>
                <w:color w:val="000000" w:themeColor="text1"/>
              </w:rPr>
            </w:pPr>
            <w:r>
              <w:rPr>
                <w:rFonts w:cs="Arial" w:ascii="Arial" w:hAnsi="Arial"/>
              </w:rPr>
              <w:t>L’IVA costituisce una spesa ammissibile se effettivamente sostenuta e non recuperabile</w:t>
            </w:r>
            <w:r>
              <w:rPr>
                <w:rFonts w:cs="Arial" w:ascii="Arial" w:hAnsi="Arial"/>
                <w:color w:val="000000" w:themeColor="text1"/>
              </w:rPr>
              <w:t>.</w:t>
            </w:r>
          </w:p>
        </w:tc>
      </w:tr>
    </w:tbl>
    <w:p>
      <w:pPr>
        <w:pStyle w:val="ListParagraph"/>
        <w:spacing w:lineRule="exact" w:line="220" w:before="0" w:after="0"/>
        <w:ind w:left="426" w:hanging="0"/>
        <w:contextualSpacing/>
        <w:jc w:val="center"/>
        <w:rPr>
          <w:rFonts w:ascii="Arial" w:hAnsi="Arial" w:cs="Arial"/>
          <w:b/>
          <w:b/>
        </w:rPr>
      </w:pPr>
      <w:r>
        <w:rPr>
          <w:rFonts w:cs="Arial" w:ascii="Arial" w:hAnsi="Arial"/>
          <w:b/>
        </w:rPr>
      </w:r>
    </w:p>
    <w:p>
      <w:pPr>
        <w:pStyle w:val="ListParagraph"/>
        <w:spacing w:lineRule="exact" w:line="220" w:before="0" w:after="0"/>
        <w:ind w:left="426" w:hanging="0"/>
        <w:contextualSpacing/>
        <w:jc w:val="center"/>
        <w:rPr>
          <w:rFonts w:ascii="Arial" w:hAnsi="Arial" w:cs="Arial"/>
          <w:b/>
          <w:b/>
        </w:rPr>
      </w:pPr>
      <w:r>
        <w:rPr>
          <w:rFonts w:cs="Arial" w:ascii="Arial" w:hAnsi="Arial"/>
          <w:b/>
        </w:rPr>
      </w:r>
    </w:p>
    <w:p>
      <w:pPr>
        <w:pStyle w:val="ListParagraph"/>
        <w:spacing w:lineRule="exact" w:line="220" w:before="0" w:after="0"/>
        <w:ind w:left="426" w:hanging="0"/>
        <w:contextualSpacing/>
        <w:jc w:val="center"/>
        <w:rPr>
          <w:rFonts w:ascii="Arial" w:hAnsi="Arial" w:cs="Arial"/>
          <w:b/>
          <w:b/>
        </w:rPr>
      </w:pPr>
      <w:r>
        <w:rPr>
          <w:rFonts w:cs="Arial" w:ascii="Arial" w:hAnsi="Arial"/>
          <w:b/>
        </w:rPr>
      </w:r>
      <w:r>
        <w:br w:type="page"/>
      </w:r>
    </w:p>
    <w:p>
      <w:pPr>
        <w:pStyle w:val="Normal"/>
        <w:spacing w:lineRule="auto" w:line="259" w:before="0" w:after="160"/>
        <w:jc w:val="center"/>
        <w:rPr/>
      </w:pPr>
      <w:r>
        <w:rPr>
          <w:rFonts w:cs="Arial" w:ascii="Arial" w:hAnsi="Arial"/>
          <w:b/>
        </w:rPr>
        <w:t>IMPEGNI DELL’ENTE</w:t>
      </w:r>
    </w:p>
    <w:p>
      <w:pPr>
        <w:pStyle w:val="Normal"/>
        <w:spacing w:lineRule="exact" w:line="220" w:before="0" w:after="0"/>
        <w:jc w:val="both"/>
        <w:rPr>
          <w:rFonts w:ascii="Arial" w:hAnsi="Arial" w:cs="Arial"/>
        </w:rPr>
      </w:pPr>
      <w:r>
        <w:rPr>
          <w:rFonts w:cs="Arial" w:ascii="Arial" w:hAnsi="Arial"/>
        </w:rPr>
      </w:r>
    </w:p>
    <w:p>
      <w:pPr>
        <w:pStyle w:val="Normal"/>
        <w:spacing w:lineRule="exact" w:line="220" w:before="0" w:after="120"/>
        <w:jc w:val="both"/>
        <w:rPr>
          <w:rFonts w:ascii="Arial" w:hAnsi="Arial" w:cs="Arial"/>
        </w:rPr>
      </w:pPr>
      <w:r>
        <w:rPr>
          <w:rFonts w:cs="Arial" w:ascii="Arial" w:hAnsi="Arial"/>
        </w:rPr>
        <w:t>Questo Ente si impegna a richiedere il codice identificativo di gara (CIG o SMARTCIG) di ciascun progetto ammesso attraverso il Sistema Informativo Monitoraggio Gare (SIMOG) dell’ANAC e a pubblicare il relativo bando di gara entro il termine perentorio di novanta giorni dalla data programmata di inizio procedura di cui all’art. 4, comma 1, lettera b) del decreto direttoriale n. 8060 dell’08/08/2019 (Decreto Direttoriale).</w:t>
      </w:r>
    </w:p>
    <w:p>
      <w:pPr>
        <w:pStyle w:val="Normal"/>
        <w:spacing w:lineRule="exact" w:line="220" w:before="0" w:after="120"/>
        <w:jc w:val="both"/>
        <w:rPr/>
      </w:pPr>
      <w:r>
        <w:rPr>
          <w:rFonts w:cs="Arial" w:ascii="Arial" w:hAnsi="Arial"/>
        </w:rPr>
        <w:t xml:space="preserve">Questo Ente si impegna a collegare i CIG e gli SMARTCIG richiesti al CUP attraverso il SIMOG e a comunicarli entro 10 giorni dalla scadenza precedentemente indicata, alla seguente PEC dedicata: </w:t>
      </w:r>
      <w:hyperlink r:id="rId2">
        <w:r>
          <w:rPr>
            <w:rStyle w:val="CollegamentoInternet"/>
            <w:rFonts w:cs="Arial" w:ascii="Arial" w:hAnsi="Arial"/>
          </w:rPr>
          <w:t>fondoprog.iip@pec.mit.gov.it</w:t>
        </w:r>
      </w:hyperlink>
      <w:hyperlink r:id="rId3">
        <w:r>
          <w:rPr>
            <w:rStyle w:val="ListLabel3"/>
            <w:rFonts w:cs="Arial" w:ascii="Arial" w:hAnsi="Arial"/>
          </w:rPr>
          <w:t>.</w:t>
        </w:r>
      </w:hyperlink>
    </w:p>
    <w:p>
      <w:pPr>
        <w:pStyle w:val="Normal"/>
        <w:spacing w:lineRule="exact" w:line="220" w:before="0" w:after="120"/>
        <w:jc w:val="both"/>
        <w:rPr>
          <w:rFonts w:ascii="Arial" w:hAnsi="Arial" w:cs="Arial"/>
        </w:rPr>
      </w:pPr>
      <w:r>
        <w:rPr>
          <w:rFonts w:cs="Arial" w:ascii="Arial" w:hAnsi="Arial"/>
        </w:rPr>
        <w:t>Questo Ente si impegna all’aggiudicazione definitiva del servizio di ingegneria relativo a ciascun piano/progetto/project review ammesso entro e non oltre il termine perentorio di 270 giorni decorrenti dalla data programmata di inizio procedura indicata, come previsto all’art. 7, comma 1, lettera c), del Decreto Direttoriale.</w:t>
      </w:r>
    </w:p>
    <w:p>
      <w:pPr>
        <w:pStyle w:val="Normal"/>
        <w:spacing w:lineRule="exact" w:line="220" w:before="0" w:after="120"/>
        <w:jc w:val="both"/>
        <w:rPr>
          <w:rFonts w:ascii="Arial" w:hAnsi="Arial" w:cs="Arial"/>
        </w:rPr>
      </w:pPr>
      <w:r>
        <w:rPr>
          <w:rFonts w:cs="Arial" w:ascii="Arial" w:hAnsi="Arial"/>
        </w:rPr>
        <w:t>Questo Ente si impegna all’inserimento nella Banca dati delle pubbliche amministrazioni (BDAP), per ciascun progetto ammesso, della data di aggiudicazione definitiva e del relativo costo, al netto delle economie conseguite.</w:t>
      </w:r>
    </w:p>
    <w:p>
      <w:pPr>
        <w:pStyle w:val="Normal"/>
        <w:spacing w:lineRule="exact" w:line="220" w:before="0" w:after="120"/>
        <w:jc w:val="both"/>
        <w:rPr/>
      </w:pPr>
      <w:r>
        <w:rPr>
          <w:rFonts w:cs="Arial" w:ascii="Arial" w:hAnsi="Arial"/>
        </w:rPr>
        <w:t xml:space="preserve">Questo Ente si impegna a comunicare, entro 10 giorni dalla scadenza fissata all’articolo 7, comma 1, lettera c) del Decreto Direttoriale all’indirizzo PEC </w:t>
      </w:r>
      <w:hyperlink r:id="rId4">
        <w:r>
          <w:rPr>
            <w:rStyle w:val="CollegamentoInternet"/>
            <w:rFonts w:cs="Arial" w:ascii="Arial" w:hAnsi="Arial"/>
          </w:rPr>
          <w:t>fondoprog.iip@pec.mit.gov.it</w:t>
        </w:r>
      </w:hyperlink>
      <w:r>
        <w:rPr>
          <w:rFonts w:cs="Arial" w:ascii="Arial" w:hAnsi="Arial"/>
        </w:rPr>
        <w:t>, la data di aggiudicazione definitiva ed il costo per ciascun progetto ammesso, al netto delle economie conseguite, come previsto all’articolo 7, comma 1, lettera d).</w:t>
      </w:r>
    </w:p>
    <w:p>
      <w:pPr>
        <w:pStyle w:val="Normal"/>
        <w:spacing w:lineRule="exact" w:line="220" w:before="0" w:after="120"/>
        <w:jc w:val="both"/>
        <w:rPr/>
      </w:pPr>
      <w:r>
        <w:rPr>
          <w:rFonts w:cs="Arial" w:ascii="Arial" w:hAnsi="Arial"/>
        </w:rPr>
        <w:t xml:space="preserve">Questo Ente si impegna, per ogni piano/progetto/project review ammesso a finanziamento, entro 24 mesi dalla data di aggiudicazione definitiva, ad approvare la relativa progettazione e a comunicare alla PEC dedicata </w:t>
      </w:r>
      <w:hyperlink r:id="rId5">
        <w:r>
          <w:rPr>
            <w:rStyle w:val="CollegamentoInternet"/>
            <w:rFonts w:cs="Arial" w:ascii="Arial" w:hAnsi="Arial"/>
          </w:rPr>
          <w:t>fondoprog.iip@pec.mit.gov.it</w:t>
        </w:r>
      </w:hyperlink>
      <w:r>
        <w:rPr>
          <w:rStyle w:val="CollegamentoInternet"/>
          <w:rFonts w:cs="Arial" w:ascii="Arial" w:hAnsi="Arial"/>
        </w:rPr>
        <w:t xml:space="preserve"> l</w:t>
      </w:r>
      <w:r>
        <w:rPr>
          <w:rFonts w:cs="Arial" w:ascii="Arial" w:hAnsi="Arial"/>
        </w:rPr>
        <w:t>a relativa data di approvazione ed il costo finale al netto delle economie di gara, nonché alla trasmissione del provvedimento di approvazione del progetto.</w:t>
      </w:r>
    </w:p>
    <w:p>
      <w:pPr>
        <w:pStyle w:val="Normal"/>
        <w:spacing w:lineRule="exact" w:line="220" w:before="0" w:after="120"/>
        <w:jc w:val="both"/>
        <w:rPr>
          <w:rFonts w:ascii="Arial" w:hAnsi="Arial" w:cs="Arial"/>
        </w:rPr>
      </w:pPr>
      <w:r>
        <w:rPr>
          <w:rFonts w:cs="Arial" w:ascii="Arial" w:hAnsi="Arial"/>
        </w:rPr>
        <w:t>Questo Ente si impegna per ogni piano/progetto/project review ammesso a finanziamento all’inserimento nella BDAP della data e degli importi di spesa.</w:t>
      </w:r>
    </w:p>
    <w:p>
      <w:pPr>
        <w:pStyle w:val="Normal"/>
        <w:spacing w:lineRule="exact" w:line="220" w:before="0" w:after="120"/>
        <w:jc w:val="both"/>
        <w:rPr>
          <w:rFonts w:ascii="Arial" w:hAnsi="Arial" w:cs="Arial"/>
        </w:rPr>
      </w:pPr>
      <w:r>
        <w:rPr>
          <w:rFonts w:cs="Arial" w:ascii="Arial" w:hAnsi="Arial"/>
        </w:rPr>
        <w:t>Questo Ente si impegna per ogni progettazione di fattibilità ammessa a finanziamento alla liquidazione e al pagamento delle spese sostenute attraverso il Sistema Informativo sulle Operazioni degli Enti Pubblici (SIOPE), provvedendo alla corretta associazione al CUP.</w:t>
      </w:r>
    </w:p>
    <w:p>
      <w:pPr>
        <w:pStyle w:val="Normal"/>
        <w:spacing w:lineRule="exact" w:line="220" w:before="0" w:after="120"/>
        <w:jc w:val="both"/>
        <w:rPr/>
      </w:pPr>
      <w:r>
        <w:rPr>
          <w:rFonts w:cs="Arial" w:ascii="Arial" w:hAnsi="Arial"/>
        </w:rPr>
        <w:t>Questo Ente si impegna per ogni piano/progetto/project review ammesso a finanziamento, entro</w:t>
      </w:r>
      <w:r>
        <w:rPr>
          <w:rFonts w:cs="Arial" w:ascii="Arial" w:hAnsi="Arial"/>
          <w:color w:val="000000" w:themeColor="text1"/>
        </w:rPr>
        <w:t xml:space="preserve"> 6 mesi dalla data di approvazione, a</w:t>
      </w:r>
      <w:r>
        <w:rPr>
          <w:rFonts w:cs="Arial" w:ascii="Arial" w:hAnsi="Arial"/>
        </w:rPr>
        <w:t xml:space="preserve"> presentare, alla PEC </w:t>
      </w:r>
      <w:r>
        <w:rPr>
          <w:rFonts w:cs="Arial" w:ascii="Arial" w:hAnsi="Arial"/>
          <w:color w:val="000000" w:themeColor="text1"/>
        </w:rPr>
        <w:t xml:space="preserve">dedicata </w:t>
      </w:r>
      <w:hyperlink r:id="rId6">
        <w:r>
          <w:rPr>
            <w:rStyle w:val="CollegamentoInternet"/>
            <w:rFonts w:cs="Arial" w:ascii="Arial" w:hAnsi="Arial"/>
          </w:rPr>
          <w:t>fondoprog.iip@pec.mit.gov.it</w:t>
        </w:r>
      </w:hyperlink>
      <w:r>
        <w:rPr>
          <w:rStyle w:val="CollegamentoInternet"/>
          <w:rFonts w:cs="Arial" w:ascii="Arial" w:hAnsi="Arial"/>
        </w:rPr>
        <w:t>,</w:t>
      </w:r>
      <w:r>
        <w:rPr>
          <w:rFonts w:cs="Arial" w:ascii="Arial" w:hAnsi="Arial"/>
        </w:rPr>
        <w:t xml:space="preserve"> la rendicontazione delle spese sostenute (cfr. Allegato 7 al Decreto Direttoriale).</w:t>
      </w:r>
    </w:p>
    <w:p>
      <w:pPr>
        <w:pStyle w:val="Normal"/>
        <w:spacing w:lineRule="exact" w:line="220" w:before="0" w:after="120"/>
        <w:jc w:val="both"/>
        <w:rPr>
          <w:rFonts w:ascii="Arial" w:hAnsi="Arial" w:cs="Arial"/>
        </w:rPr>
      </w:pPr>
      <w:r>
        <w:rPr>
          <w:rFonts w:cs="Arial" w:ascii="Arial" w:hAnsi="Arial"/>
        </w:rPr>
        <w:t>Questo Ente si impegna, ai sensi del Decreto legislativo 29 dicembre 2011, n. 229, all’inserimento dei dati relativi ai piani/progetti/project review ammessi a finanziamento statale nel sistema di “Monitoraggio delle opere pubbliche” della “Banca dati delle pubbliche amministrazioni (BDAP)”, anche al fine di consentire alla Direzione generale per l’edilizia statale e gli interventi speciali il monitoraggio dei procedimenti relativi alle pianificazioni/progettazioni oggetto di finanziamento statale.</w:t>
      </w:r>
    </w:p>
    <w:p>
      <w:pPr>
        <w:pStyle w:val="Normal"/>
        <w:spacing w:lineRule="exact" w:line="220" w:before="0" w:after="120"/>
        <w:jc w:val="both"/>
        <w:rPr>
          <w:rFonts w:ascii="Arial" w:hAnsi="Arial" w:cs="Arial"/>
        </w:rPr>
      </w:pPr>
      <w:r>
        <w:rPr>
          <w:rFonts w:cs="Arial" w:ascii="Arial" w:hAnsi="Arial"/>
        </w:rPr>
        <w:t>Questo Ente è consapevole che sono oggetto di automatica revoca le risorse ammesse a finanziamento statale per le attività di pianificazione/progettazione per le quali l’Ente beneficiario:</w:t>
      </w:r>
    </w:p>
    <w:p>
      <w:pPr>
        <w:pStyle w:val="ListParagraph"/>
        <w:spacing w:lineRule="exact" w:line="220" w:before="0" w:after="60"/>
        <w:ind w:left="284" w:hanging="284"/>
        <w:contextualSpacing/>
        <w:jc w:val="both"/>
        <w:rPr/>
      </w:pPr>
      <w:r>
        <w:rPr>
          <w:rFonts w:cs="Arial" w:ascii="Arial" w:hAnsi="Arial"/>
        </w:rPr>
        <w:t xml:space="preserve">non ha provveduto alla pubblicazione del bando di gara entro il termine perentorio di novanta giorni dalla data programmata di inizio procedura di cui all’art. 4, comma 1, lettera b), del Decreto Direttoriale ed alla successiva comunicazione sulla PEC dedicata </w:t>
      </w:r>
      <w:hyperlink r:id="rId7">
        <w:r>
          <w:rPr>
            <w:rStyle w:val="CollegamentoInternet"/>
            <w:rFonts w:cs="Arial" w:ascii="Arial" w:hAnsi="Arial"/>
          </w:rPr>
          <w:t>fondoprog.iip@pec.mit.gov.it</w:t>
        </w:r>
      </w:hyperlink>
      <w:r>
        <w:rPr>
          <w:rStyle w:val="CollegamentoInternet"/>
          <w:rFonts w:cs="Arial" w:ascii="Arial" w:hAnsi="Arial"/>
        </w:rPr>
        <w:t>;</w:t>
      </w:r>
    </w:p>
    <w:p>
      <w:pPr>
        <w:pStyle w:val="ListParagraph"/>
        <w:spacing w:lineRule="exact" w:line="220" w:before="0" w:after="60"/>
        <w:ind w:left="284" w:hanging="284"/>
        <w:contextualSpacing/>
        <w:jc w:val="both"/>
        <w:rPr>
          <w:rFonts w:ascii="Arial" w:hAnsi="Arial" w:cs="Arial"/>
        </w:rPr>
      </w:pPr>
      <w:r>
        <w:rPr>
          <w:rFonts w:cs="Arial" w:ascii="Arial" w:hAnsi="Arial"/>
        </w:rPr>
        <w:t>non ha provveduto all’aggiudicazione definitiva entro il termine perentorio di 270 giorni decorrenti dalla data programmata di inizio procedura come previsto all’art. 7, comma 1, lettera c), del Decreto Direttoriale;</w:t>
      </w:r>
    </w:p>
    <w:p>
      <w:pPr>
        <w:pStyle w:val="ListParagraph"/>
        <w:spacing w:lineRule="exact" w:line="220" w:before="0" w:after="60"/>
        <w:ind w:left="284" w:hanging="284"/>
        <w:contextualSpacing/>
        <w:jc w:val="both"/>
        <w:rPr>
          <w:rFonts w:ascii="Arial" w:hAnsi="Arial" w:cs="Arial"/>
        </w:rPr>
      </w:pPr>
      <w:r>
        <w:rPr>
          <w:rFonts w:cs="Arial" w:ascii="Arial" w:hAnsi="Arial"/>
        </w:rPr>
        <w:t>incorra in violazioni o negligenze, tanto in ordine alle condizioni stabilite nel Decreto Direttoriale, quanto a norme di legge o regolamenti, a disposizioni amministrative ed alle stesse norme di buona amministrazione.</w:t>
      </w:r>
    </w:p>
    <w:p>
      <w:pPr>
        <w:pStyle w:val="Normal"/>
        <w:spacing w:lineRule="exact" w:line="220" w:before="0" w:after="60"/>
        <w:jc w:val="both"/>
        <w:rPr>
          <w:rFonts w:ascii="Arial" w:hAnsi="Arial" w:cs="Arial"/>
        </w:rPr>
      </w:pPr>
      <w:r>
        <w:rPr>
          <w:rFonts w:cs="Arial" w:ascii="Arial" w:hAnsi="Arial"/>
        </w:rPr>
      </w:r>
    </w:p>
    <w:p>
      <w:pPr>
        <w:pStyle w:val="Normal"/>
        <w:spacing w:lineRule="exact" w:line="220" w:before="0" w:after="0"/>
        <w:jc w:val="both"/>
        <w:rPr/>
      </w:pPr>
      <w:r>
        <w:rPr>
          <w:rFonts w:cs="Arial" w:ascii="Arial" w:hAnsi="Arial"/>
          <w:b/>
        </w:rPr>
        <w:tab/>
        <w:tab/>
        <w:tab/>
        <w:tab/>
        <w:tab/>
        <w:tab/>
        <w:tab/>
        <w:tab/>
        <w:t>FIRMATO DIGITALMENTE</w:t>
      </w:r>
    </w:p>
    <w:p>
      <w:pPr>
        <w:pStyle w:val="Normal"/>
        <w:widowControl/>
        <w:bidi w:val="0"/>
        <w:spacing w:lineRule="auto" w:line="276" w:before="0" w:after="200"/>
        <w:jc w:val="left"/>
        <w:rPr/>
      </w:pPr>
      <w:r>
        <w:rPr/>
      </w:r>
    </w:p>
    <w:sectPr>
      <w:type w:val="nextPage"/>
      <w:pgSz w:w="11906" w:h="16838"/>
      <w:pgMar w:left="1080" w:right="108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Segoe UI">
    <w:charset w:val="01"/>
    <w:family w:val="swiss"/>
    <w:pitch w:val="default"/>
  </w:font>
  <w:font w:name="Arial">
    <w:charset w:val="01"/>
    <w:family w:val="swiss"/>
    <w:pitch w:val="default"/>
  </w:font>
  <w:font w:name="Symbol">
    <w:charset w:val="01"/>
    <w:family w:val="swiss"/>
    <w:pitch w:val="default"/>
  </w:font>
  <w:font w:name="Courier New">
    <w:charset w:val="01"/>
    <w:family w:val="swiss"/>
    <w:pitch w:val="default"/>
  </w:font>
  <w:font w:name="Wingdings">
    <w:charset w:val="01"/>
    <w:family w:val="swiss"/>
    <w:pitch w:val="default"/>
  </w:font>
  <w:font w:name="OpenSymbol">
    <w:altName w:val="Arial Unicode MS"/>
    <w:charset w:val="01"/>
    <w:family w:val="swiss"/>
    <w:pitch w:val="default"/>
  </w:font>
  <w:font w:name="Trebuchet MS">
    <w:charset w:val="01"/>
    <w:family w:val="swiss"/>
    <w:pitch w:val="default"/>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360" w:hanging="360"/>
      </w:pPr>
      <w:rPr>
        <w:rFonts w:ascii="Symbol" w:hAnsi="Symbol" w:cs="Symbol" w:hint="default"/>
        <w:sz w:val="22"/>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720"/>
        </w:tabs>
        <w:ind w:left="720" w:hanging="360"/>
      </w:pPr>
      <w:rPr>
        <w:rFonts w:ascii="Symbol" w:hAnsi="Symbol" w:cs="Symbol" w:hint="default"/>
        <w:sz w:val="22"/>
        <w:rFonts w:cs="Symbol"/>
        <w:lang w:eastAsia="it-I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3">
    <w:lvl w:ilvl="0">
      <w:start w:val="1"/>
      <w:numFmt w:val="bullet"/>
      <w:lvlText w:val=""/>
      <w:lvlJc w:val="left"/>
      <w:pPr>
        <w:tabs>
          <w:tab w:val="num" w:pos="720"/>
        </w:tabs>
        <w:ind w:left="720" w:hanging="360"/>
      </w:pPr>
      <w:rPr>
        <w:rFonts w:ascii="Symbol" w:hAnsi="Symbol" w:cs="Symbol" w:hint="default"/>
        <w:sz w:val="22"/>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4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543c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link w:val="Intestazione"/>
    <w:uiPriority w:val="99"/>
    <w:qFormat/>
    <w:rsid w:val="00a96c2f"/>
    <w:rPr/>
  </w:style>
  <w:style w:type="character" w:styleId="PidipaginaCarattere" w:customStyle="1">
    <w:name w:val="Piè di pagina Carattere"/>
    <w:basedOn w:val="DefaultParagraphFont"/>
    <w:link w:val="Pidipagina"/>
    <w:uiPriority w:val="99"/>
    <w:qFormat/>
    <w:rsid w:val="00a96c2f"/>
    <w:rPr/>
  </w:style>
  <w:style w:type="character" w:styleId="CollegamentoInternet" w:customStyle="1">
    <w:name w:val="Collegamento Internet"/>
    <w:basedOn w:val="DefaultParagraphFont"/>
    <w:uiPriority w:val="99"/>
    <w:unhideWhenUsed/>
    <w:rsid w:val="00a96c2f"/>
    <w:rPr>
      <w:color w:val="0563C1" w:themeColor="hyperlink"/>
      <w:u w:val="single"/>
    </w:rPr>
  </w:style>
  <w:style w:type="character" w:styleId="TestofumettoCarattere" w:customStyle="1">
    <w:name w:val="Testo fumetto Carattere"/>
    <w:basedOn w:val="DefaultParagraphFont"/>
    <w:link w:val="Testofumetto"/>
    <w:uiPriority w:val="99"/>
    <w:semiHidden/>
    <w:qFormat/>
    <w:rsid w:val="00cf4c05"/>
    <w:rPr>
      <w:rFonts w:ascii="Segoe UI" w:hAnsi="Segoe UI" w:cs="Segoe UI"/>
      <w:sz w:val="18"/>
      <w:szCs w:val="18"/>
    </w:rPr>
  </w:style>
  <w:style w:type="character" w:styleId="ListLabel1" w:customStyle="1">
    <w:name w:val="ListLabel 1"/>
    <w:qFormat/>
    <w:rPr>
      <w:rFonts w:ascii="Arial" w:hAnsi="Arial" w:cs="Arial"/>
    </w:rPr>
  </w:style>
  <w:style w:type="character" w:styleId="ListLabel2" w:customStyle="1">
    <w:name w:val="ListLabel 2"/>
    <w:qFormat/>
    <w:rPr>
      <w:rFonts w:ascii="Arial" w:hAnsi="Arial" w:cs="Arial"/>
    </w:rPr>
  </w:style>
  <w:style w:type="character" w:styleId="ListLabel3" w:customStyle="1">
    <w:name w:val="ListLabel 3"/>
    <w:qFormat/>
    <w:rPr>
      <w:rFonts w:ascii="Arial" w:hAnsi="Arial" w:cs="Arial"/>
    </w:rPr>
  </w:style>
  <w:style w:type="character" w:styleId="ListLabel4" w:customStyle="1">
    <w:name w:val="ListLabel 4"/>
    <w:qFormat/>
    <w:rPr>
      <w:rFonts w:ascii="Arial" w:hAnsi="Arial" w:cs="Arial"/>
    </w:rPr>
  </w:style>
  <w:style w:type="character" w:styleId="ListLabel5" w:customStyle="1">
    <w:name w:val="ListLabel 5"/>
    <w:qFormat/>
    <w:rPr>
      <w:rFonts w:ascii="Arial" w:hAnsi="Arial" w:cs="Arial"/>
    </w:rPr>
  </w:style>
  <w:style w:type="character" w:styleId="ListLabel6" w:customStyle="1">
    <w:name w:val="ListLabel 6"/>
    <w:qFormat/>
    <w:rPr>
      <w:rFonts w:ascii="Arial" w:hAnsi="Arial" w:cs="Arial"/>
    </w:rPr>
  </w:style>
  <w:style w:type="character" w:styleId="ListLabel7" w:customStyle="1">
    <w:name w:val="ListLabel 7"/>
    <w:qFormat/>
    <w:rPr>
      <w:rFonts w:ascii="Arial" w:hAnsi="Arial" w:cs="Arial"/>
    </w:rPr>
  </w:style>
  <w:style w:type="character" w:styleId="ListLabel8">
    <w:name w:val="ListLabel 8"/>
    <w:qFormat/>
    <w:rPr>
      <w:rFonts w:eastAsia="Times New Roman" w:cs="Arial"/>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ascii="Arial" w:hAnsi="Arial" w:cs="Arial"/>
    </w:rPr>
  </w:style>
  <w:style w:type="character" w:styleId="ListLabel13">
    <w:name w:val="ListLabel 13"/>
    <w:qFormat/>
    <w:rPr/>
  </w:style>
  <w:style w:type="character" w:styleId="ListLabel14">
    <w:name w:val="ListLabel 14"/>
    <w:qFormat/>
    <w:rPr>
      <w:rFonts w:ascii="Arial" w:hAnsi="Arial" w:cs="Arial"/>
    </w:rPr>
  </w:style>
  <w:style w:type="character" w:styleId="ListLabel15">
    <w:name w:val="ListLabel 15"/>
    <w:qFormat/>
    <w:rPr>
      <w:rFonts w:ascii="Arial" w:hAnsi="Arial" w:cs="Arial"/>
    </w:rPr>
  </w:style>
  <w:style w:type="character" w:styleId="ListLabel16">
    <w:name w:val="ListLabel 16"/>
    <w:qFormat/>
    <w:rPr>
      <w:rFonts w:ascii="Arial" w:hAnsi="Arial" w:cs="Arial"/>
    </w:rPr>
  </w:style>
  <w:style w:type="character" w:styleId="ListLabel17">
    <w:name w:val="ListLabel 17"/>
    <w:qFormat/>
    <w:rPr>
      <w:rFonts w:ascii="Arial" w:hAnsi="Arial" w:cs="Arial"/>
    </w:rPr>
  </w:style>
  <w:style w:type="character" w:styleId="ListLabel18">
    <w:name w:val="ListLabel 18"/>
    <w:qFormat/>
    <w:rPr>
      <w:rFonts w:ascii="Arial" w:hAnsi="Arial" w:cs="Arial"/>
    </w:rPr>
  </w:style>
  <w:style w:type="character" w:styleId="ListLabel19">
    <w:name w:val="ListLabel 19"/>
    <w:qFormat/>
    <w:rPr>
      <w:rFonts w:ascii="Arial" w:hAnsi="Arial" w:cs="Arial"/>
    </w:rPr>
  </w:style>
  <w:style w:type="character" w:styleId="ListLabel20">
    <w:name w:val="ListLabel 20"/>
    <w:qFormat/>
    <w:rPr>
      <w:rFonts w:ascii="Arial" w:hAnsi="Arial" w:cs="Arial"/>
    </w:rPr>
  </w:style>
  <w:style w:type="character" w:styleId="ListLabel21">
    <w:name w:val="ListLabel 21"/>
    <w:qFormat/>
    <w:rPr>
      <w:rFonts w:ascii="Arial" w:hAnsi="Arial" w:cs="Arial"/>
    </w:rPr>
  </w:style>
  <w:style w:type="character" w:styleId="WW8Num32z0">
    <w:name w:val="WW8Num32z0"/>
    <w:qFormat/>
    <w:rPr>
      <w:rFonts w:ascii="Symbol" w:hAnsi="Symbol" w:cs="Symbol"/>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7z0">
    <w:name w:val="WW8Num37z0"/>
    <w:qFormat/>
    <w:rPr>
      <w:rFonts w:ascii="Arial" w:hAnsi="Arial" w:eastAsia="SimSun;宋体" w:cs="Arial"/>
    </w:rPr>
  </w:style>
  <w:style w:type="character" w:styleId="WW8Num37z1">
    <w:name w:val="WW8Num37z1"/>
    <w:qFormat/>
    <w:rPr>
      <w:rFonts w:ascii="Courier New" w:hAnsi="Courier New" w:cs="Courier New"/>
    </w:rPr>
  </w:style>
  <w:style w:type="character" w:styleId="WW8Num37z2">
    <w:name w:val="WW8Num37z2"/>
    <w:qFormat/>
    <w:rPr>
      <w:rFonts w:ascii="Wingdings" w:hAnsi="Wingdings" w:cs="Wingdings"/>
    </w:rPr>
  </w:style>
  <w:style w:type="character" w:styleId="WW8Num37z3">
    <w:name w:val="WW8Num37z3"/>
    <w:qFormat/>
    <w:rPr>
      <w:rFonts w:ascii="Symbol" w:hAnsi="Symbol" w:cs="Symbol"/>
    </w:rPr>
  </w:style>
  <w:style w:type="character" w:styleId="ListLabel22">
    <w:name w:val="ListLabel 22"/>
    <w:qFormat/>
    <w:rPr>
      <w:rFonts w:ascii="Arial" w:hAnsi="Arial" w:cs="Symbol"/>
      <w:sz w:val="20"/>
    </w:rPr>
  </w:style>
  <w:style w:type="character" w:styleId="ListLabel23">
    <w:name w:val="ListLabel 23"/>
    <w:qFormat/>
    <w:rPr>
      <w:rFonts w:ascii="Arial" w:hAnsi="Arial" w:cs="Arial"/>
      <w:sz w:val="20"/>
    </w:rPr>
  </w:style>
  <w:style w:type="character" w:styleId="ListLabel24">
    <w:name w:val="ListLabel 24"/>
    <w:qFormat/>
    <w:rPr>
      <w:rFonts w:ascii="Arial" w:hAnsi="Arial" w:cs="Arial"/>
    </w:rPr>
  </w:style>
  <w:style w:type="character" w:styleId="ListLabel25">
    <w:name w:val="ListLabel 25"/>
    <w:qFormat/>
    <w:rPr>
      <w:rFonts w:ascii="Arial" w:hAnsi="Arial" w:cs="Arial"/>
    </w:rPr>
  </w:style>
  <w:style w:type="character" w:styleId="ListLabel26">
    <w:name w:val="ListLabel 26"/>
    <w:qFormat/>
    <w:rPr>
      <w:rFonts w:ascii="Arial" w:hAnsi="Arial" w:cs="Symbol"/>
      <w:sz w:val="20"/>
    </w:rPr>
  </w:style>
  <w:style w:type="character" w:styleId="ListLabel27">
    <w:name w:val="ListLabel 27"/>
    <w:qFormat/>
    <w:rPr>
      <w:rFonts w:ascii="Arial" w:hAnsi="Arial" w:cs="Arial"/>
      <w:sz w:val="20"/>
    </w:rPr>
  </w:style>
  <w:style w:type="character" w:styleId="ListLabel28">
    <w:name w:val="ListLabel 28"/>
    <w:qFormat/>
    <w:rPr>
      <w:rFonts w:ascii="Arial" w:hAnsi="Arial" w:cs="Arial"/>
    </w:rPr>
  </w:style>
  <w:style w:type="character" w:styleId="ListLabel29">
    <w:name w:val="ListLabel 29"/>
    <w:qFormat/>
    <w:rPr>
      <w:rFonts w:ascii="Arial" w:hAnsi="Arial" w:cs="Arial"/>
    </w:rPr>
  </w:style>
  <w:style w:type="character" w:styleId="ListLabel30">
    <w:name w:val="ListLabel 30"/>
    <w:qFormat/>
    <w:rPr>
      <w:rFonts w:ascii="Arial" w:hAnsi="Arial" w:cs="Symbol"/>
      <w:sz w:val="20"/>
    </w:rPr>
  </w:style>
  <w:style w:type="character" w:styleId="ListLabel31">
    <w:name w:val="ListLabel 31"/>
    <w:qFormat/>
    <w:rPr>
      <w:rFonts w:ascii="Arial" w:hAnsi="Arial" w:cs="Arial"/>
      <w:sz w:val="20"/>
    </w:rPr>
  </w:style>
  <w:style w:type="character" w:styleId="ListLabel32">
    <w:name w:val="ListLabel 32"/>
    <w:qFormat/>
    <w:rPr>
      <w:rFonts w:ascii="Arial" w:hAnsi="Arial" w:cs="Arial"/>
    </w:rPr>
  </w:style>
  <w:style w:type="character" w:styleId="ListLabel33">
    <w:name w:val="ListLabel 33"/>
    <w:qFormat/>
    <w:rPr>
      <w:rFonts w:ascii="Arial" w:hAnsi="Arial" w:cs="Arial"/>
    </w:rPr>
  </w:style>
  <w:style w:type="character" w:styleId="WW8Num133z0">
    <w:name w:val="WW8Num133z0"/>
    <w:qFormat/>
    <w:rPr>
      <w:rFonts w:ascii="Symbol" w:hAnsi="Symbol" w:cs="Symbol"/>
      <w:lang w:eastAsia="it-IT"/>
    </w:rPr>
  </w:style>
  <w:style w:type="character" w:styleId="WW8Num133z1">
    <w:name w:val="WW8Num133z1"/>
    <w:qFormat/>
    <w:rPr>
      <w:rFonts w:ascii="Courier New" w:hAnsi="Courier New" w:cs="Courier New"/>
    </w:rPr>
  </w:style>
  <w:style w:type="character" w:styleId="WW8Num133z2">
    <w:name w:val="WW8Num133z2"/>
    <w:qFormat/>
    <w:rPr>
      <w:rFonts w:ascii="Wingdings" w:hAnsi="Wingdings" w:cs="Wingdings"/>
    </w:rPr>
  </w:style>
  <w:style w:type="character" w:styleId="WW8Num133z3">
    <w:name w:val="WW8Num133z3"/>
    <w:qFormat/>
    <w:rPr>
      <w:rFonts w:ascii="Symbol" w:hAnsi="Symbol" w:cs="Symbol"/>
    </w:rPr>
  </w:style>
  <w:style w:type="character" w:styleId="WW8Num18z0">
    <w:name w:val="WW8Num18z0"/>
    <w:qFormat/>
    <w:rPr>
      <w:rFonts w:ascii="Symbol" w:hAnsi="Symbol" w:cs="Symbol"/>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Punti">
    <w:name w:val="Punti"/>
    <w:qFormat/>
    <w:rPr>
      <w:rFonts w:ascii="OpenSymbol" w:hAnsi="OpenSymbol" w:eastAsia="OpenSymbol" w:cs="OpenSymbol"/>
    </w:rPr>
  </w:style>
  <w:style w:type="character" w:styleId="ListLabel34">
    <w:name w:val="ListLabel 34"/>
    <w:qFormat/>
    <w:rPr>
      <w:rFonts w:ascii="Arial" w:hAnsi="Arial" w:cs="Symbol"/>
      <w:sz w:val="20"/>
    </w:rPr>
  </w:style>
  <w:style w:type="character" w:styleId="ListLabel35">
    <w:name w:val="ListLabel 35"/>
    <w:qFormat/>
    <w:rPr>
      <w:rFonts w:ascii="Arial" w:hAnsi="Arial" w:cs="Arial"/>
      <w:sz w:val="20"/>
    </w:rPr>
  </w:style>
  <w:style w:type="character" w:styleId="ListLabel36">
    <w:name w:val="ListLabel 36"/>
    <w:qFormat/>
    <w:rPr>
      <w:rFonts w:ascii="Arial" w:hAnsi="Arial" w:cs="Symbol"/>
      <w:sz w:val="22"/>
      <w:lang w:eastAsia="it-IT"/>
    </w:rPr>
  </w:style>
  <w:style w:type="character" w:styleId="ListLabel37">
    <w:name w:val="ListLabel 37"/>
    <w:qFormat/>
    <w:rPr>
      <w:rFonts w:cs="Courier New"/>
    </w:rPr>
  </w:style>
  <w:style w:type="character" w:styleId="ListLabel38">
    <w:name w:val="ListLabel 38"/>
    <w:qFormat/>
    <w:rPr>
      <w:rFonts w:cs="Wingdings"/>
    </w:rPr>
  </w:style>
  <w:style w:type="character" w:styleId="ListLabel39">
    <w:name w:val="ListLabel 39"/>
    <w:qFormat/>
    <w:rPr>
      <w:rFonts w:cs="Symbol"/>
    </w:rPr>
  </w:style>
  <w:style w:type="character" w:styleId="ListLabel40">
    <w:name w:val="ListLabel 40"/>
    <w:qFormat/>
    <w:rPr>
      <w:rFonts w:cs="Courier New"/>
    </w:rPr>
  </w:style>
  <w:style w:type="character" w:styleId="ListLabel41">
    <w:name w:val="ListLabel 41"/>
    <w:qFormat/>
    <w:rPr>
      <w:rFonts w:cs="Wingdings"/>
    </w:rPr>
  </w:style>
  <w:style w:type="character" w:styleId="ListLabel42">
    <w:name w:val="ListLabel 42"/>
    <w:qFormat/>
    <w:rPr>
      <w:rFonts w:cs="Symbol"/>
    </w:rPr>
  </w:style>
  <w:style w:type="character" w:styleId="ListLabel43">
    <w:name w:val="ListLabel 43"/>
    <w:qFormat/>
    <w:rPr>
      <w:rFonts w:cs="Courier New"/>
    </w:rPr>
  </w:style>
  <w:style w:type="character" w:styleId="ListLabel44">
    <w:name w:val="ListLabel 44"/>
    <w:qFormat/>
    <w:rPr>
      <w:rFonts w:cs="Wingdings"/>
    </w:rPr>
  </w:style>
  <w:style w:type="character" w:styleId="ListLabel45">
    <w:name w:val="ListLabel 45"/>
    <w:qFormat/>
    <w:rPr>
      <w:rFonts w:ascii="Arial" w:hAnsi="Arial" w:cs="Symbol"/>
      <w:sz w:val="22"/>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Symbol"/>
    </w:rPr>
  </w:style>
  <w:style w:type="character" w:styleId="ListLabel49">
    <w:name w:val="ListLabel 49"/>
    <w:qFormat/>
    <w:rPr>
      <w:rFonts w:cs="Courier New"/>
    </w:rPr>
  </w:style>
  <w:style w:type="character" w:styleId="ListLabel50">
    <w:name w:val="ListLabel 50"/>
    <w:qFormat/>
    <w:rPr>
      <w:rFonts w:cs="Wingdings"/>
    </w:rPr>
  </w:style>
  <w:style w:type="character" w:styleId="ListLabel51">
    <w:name w:val="ListLabel 51"/>
    <w:qFormat/>
    <w:rPr>
      <w:rFonts w:cs="Symbol"/>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rFonts w:ascii="Arial" w:hAnsi="Arial" w:cs="OpenSymbol"/>
    </w:rPr>
  </w:style>
  <w:style w:type="character" w:styleId="ListLabel55">
    <w:name w:val="ListLabel 55"/>
    <w:qFormat/>
    <w:rPr>
      <w:rFonts w:cs="OpenSymbol"/>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ascii="Arial" w:hAnsi="Arial" w:cs="Arial"/>
    </w:rPr>
  </w:style>
  <w:style w:type="character" w:styleId="ListLabel64">
    <w:name w:val="ListLabel 64"/>
    <w:qFormat/>
    <w:rPr>
      <w:rFonts w:ascii="Arial" w:hAnsi="Arial" w:cs="Arial"/>
    </w:rPr>
  </w:style>
  <w:style w:type="character" w:styleId="ListLabel65">
    <w:name w:val="ListLabel 65"/>
    <w:qFormat/>
    <w:rPr>
      <w:rFonts w:ascii="Arial" w:hAnsi="Arial" w:cs="Symbol"/>
      <w:sz w:val="20"/>
    </w:rPr>
  </w:style>
  <w:style w:type="character" w:styleId="ListLabel66">
    <w:name w:val="ListLabel 66"/>
    <w:qFormat/>
    <w:rPr>
      <w:rFonts w:ascii="Arial" w:hAnsi="Arial" w:cs="Arial"/>
      <w:sz w:val="20"/>
    </w:rPr>
  </w:style>
  <w:style w:type="character" w:styleId="ListLabel67">
    <w:name w:val="ListLabel 67"/>
    <w:qFormat/>
    <w:rPr>
      <w:rFonts w:ascii="Arial" w:hAnsi="Arial" w:cs="Symbol"/>
      <w:sz w:val="22"/>
      <w:lang w:eastAsia="it-IT"/>
    </w:rPr>
  </w:style>
  <w:style w:type="character" w:styleId="ListLabel68">
    <w:name w:val="ListLabel 68"/>
    <w:qFormat/>
    <w:rPr>
      <w:rFonts w:cs="Courier New"/>
    </w:rPr>
  </w:style>
  <w:style w:type="character" w:styleId="ListLabel69">
    <w:name w:val="ListLabel 69"/>
    <w:qFormat/>
    <w:rPr>
      <w:rFonts w:cs="Wingdings"/>
    </w:rPr>
  </w:style>
  <w:style w:type="character" w:styleId="ListLabel70">
    <w:name w:val="ListLabel 70"/>
    <w:qFormat/>
    <w:rPr>
      <w:rFonts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rFonts w:cs="Symbol"/>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ascii="Arial" w:hAnsi="Arial" w:cs="Symbol"/>
      <w:sz w:val="22"/>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cs="Symbol"/>
    </w:rPr>
  </w:style>
  <w:style w:type="character" w:styleId="ListLabel83">
    <w:name w:val="ListLabel 83"/>
    <w:qFormat/>
    <w:rPr>
      <w:rFonts w:cs="Courier New"/>
    </w:rPr>
  </w:style>
  <w:style w:type="character" w:styleId="ListLabel84">
    <w:name w:val="ListLabel 84"/>
    <w:qFormat/>
    <w:rPr>
      <w:rFonts w:cs="Wingdings"/>
    </w:rPr>
  </w:style>
  <w:style w:type="character" w:styleId="ListLabel85">
    <w:name w:val="ListLabel 85"/>
    <w:qFormat/>
    <w:rPr>
      <w:rFonts w:ascii="Arial" w:hAnsi="Arial"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ascii="Arial" w:hAnsi="Arial" w:cs="Arial"/>
    </w:rPr>
  </w:style>
  <w:style w:type="character" w:styleId="ListLabel95">
    <w:name w:val="ListLabel 95"/>
    <w:qFormat/>
    <w:rPr>
      <w:rFonts w:ascii="Arial" w:hAnsi="Arial" w:cs="Arial"/>
    </w:rPr>
  </w:style>
  <w:style w:type="character" w:styleId="WW8Num31z0">
    <w:name w:val="WW8Num31z0"/>
    <w:qFormat/>
    <w:rPr/>
  </w:style>
  <w:style w:type="character" w:styleId="ListLabel96">
    <w:name w:val="ListLabel 96"/>
    <w:qFormat/>
    <w:rPr>
      <w:rFonts w:ascii="Arial" w:hAnsi="Arial" w:cs="Symbol"/>
      <w:sz w:val="20"/>
    </w:rPr>
  </w:style>
  <w:style w:type="character" w:styleId="ListLabel97">
    <w:name w:val="ListLabel 97"/>
    <w:qFormat/>
    <w:rPr>
      <w:rFonts w:ascii="Arial" w:hAnsi="Arial" w:cs="Arial"/>
      <w:sz w:val="20"/>
    </w:rPr>
  </w:style>
  <w:style w:type="character" w:styleId="ListLabel98">
    <w:name w:val="ListLabel 98"/>
    <w:qFormat/>
    <w:rPr>
      <w:rFonts w:ascii="Arial" w:hAnsi="Arial" w:cs="Symbol"/>
      <w:sz w:val="22"/>
      <w:lang w:eastAsia="it-IT"/>
    </w:rPr>
  </w:style>
  <w:style w:type="character" w:styleId="ListLabel99">
    <w:name w:val="ListLabel 99"/>
    <w:qFormat/>
    <w:rPr>
      <w:rFonts w:cs="Courier New"/>
    </w:rPr>
  </w:style>
  <w:style w:type="character" w:styleId="ListLabel100">
    <w:name w:val="ListLabel 100"/>
    <w:qFormat/>
    <w:rPr>
      <w:rFonts w:cs="Wingdings"/>
    </w:rPr>
  </w:style>
  <w:style w:type="character" w:styleId="ListLabel101">
    <w:name w:val="ListLabel 101"/>
    <w:qFormat/>
    <w:rPr>
      <w:rFonts w:cs="Symbol"/>
    </w:rPr>
  </w:style>
  <w:style w:type="character" w:styleId="ListLabel102">
    <w:name w:val="ListLabel 102"/>
    <w:qFormat/>
    <w:rPr>
      <w:rFonts w:cs="Courier New"/>
    </w:rPr>
  </w:style>
  <w:style w:type="character" w:styleId="ListLabel103">
    <w:name w:val="ListLabel 103"/>
    <w:qFormat/>
    <w:rPr>
      <w:rFonts w:cs="Wingdings"/>
    </w:rPr>
  </w:style>
  <w:style w:type="character" w:styleId="ListLabel104">
    <w:name w:val="ListLabel 104"/>
    <w:qFormat/>
    <w:rPr>
      <w:rFonts w:cs="Symbol"/>
    </w:rPr>
  </w:style>
  <w:style w:type="character" w:styleId="ListLabel105">
    <w:name w:val="ListLabel 105"/>
    <w:qFormat/>
    <w:rPr>
      <w:rFonts w:cs="Courier New"/>
    </w:rPr>
  </w:style>
  <w:style w:type="character" w:styleId="ListLabel106">
    <w:name w:val="ListLabel 106"/>
    <w:qFormat/>
    <w:rPr>
      <w:rFonts w:cs="Wingdings"/>
    </w:rPr>
  </w:style>
  <w:style w:type="character" w:styleId="ListLabel107">
    <w:name w:val="ListLabel 107"/>
    <w:qFormat/>
    <w:rPr>
      <w:rFonts w:ascii="Arial" w:hAnsi="Arial" w:cs="Symbol"/>
      <w:sz w:val="22"/>
    </w:rPr>
  </w:style>
  <w:style w:type="character" w:styleId="ListLabel108">
    <w:name w:val="ListLabel 108"/>
    <w:qFormat/>
    <w:rPr>
      <w:rFonts w:cs="Courier New"/>
    </w:rPr>
  </w:style>
  <w:style w:type="character" w:styleId="ListLabel109">
    <w:name w:val="ListLabel 109"/>
    <w:qFormat/>
    <w:rPr>
      <w:rFonts w:cs="Wingdings"/>
    </w:rPr>
  </w:style>
  <w:style w:type="character" w:styleId="ListLabel110">
    <w:name w:val="ListLabel 110"/>
    <w:qFormat/>
    <w:rPr>
      <w:rFonts w:cs="Symbol"/>
    </w:rPr>
  </w:style>
  <w:style w:type="character" w:styleId="ListLabel111">
    <w:name w:val="ListLabel 111"/>
    <w:qFormat/>
    <w:rPr>
      <w:rFonts w:cs="Courier New"/>
    </w:rPr>
  </w:style>
  <w:style w:type="character" w:styleId="ListLabel112">
    <w:name w:val="ListLabel 112"/>
    <w:qFormat/>
    <w:rPr>
      <w:rFonts w:cs="Wingdings"/>
    </w:rPr>
  </w:style>
  <w:style w:type="character" w:styleId="ListLabel113">
    <w:name w:val="ListLabel 113"/>
    <w:qFormat/>
    <w:rPr>
      <w:rFonts w:cs="Symbol"/>
    </w:rPr>
  </w:style>
  <w:style w:type="character" w:styleId="ListLabel114">
    <w:name w:val="ListLabel 114"/>
    <w:qFormat/>
    <w:rPr>
      <w:rFonts w:cs="Courier New"/>
    </w:rPr>
  </w:style>
  <w:style w:type="character" w:styleId="ListLabel115">
    <w:name w:val="ListLabel 115"/>
    <w:qFormat/>
    <w:rPr>
      <w:rFonts w:cs="Wingdings"/>
    </w:rPr>
  </w:style>
  <w:style w:type="character" w:styleId="ListLabel116">
    <w:name w:val="ListLabel 116"/>
    <w:qFormat/>
    <w:rPr>
      <w:rFonts w:ascii="Arial" w:hAnsi="Arial" w:cs="OpenSymbol"/>
      <w:b w:val="false"/>
      <w:sz w:val="22"/>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ascii="Arial" w:hAnsi="Arial" w:cs="Arial"/>
    </w:rPr>
  </w:style>
  <w:style w:type="character" w:styleId="ListLabel126">
    <w:name w:val="ListLabel 126"/>
    <w:qFormat/>
    <w:rPr>
      <w:rFonts w:ascii="Arial" w:hAnsi="Arial" w:cs="Arial"/>
    </w:rPr>
  </w:style>
  <w:style w:type="character" w:styleId="WW8Num15z0">
    <w:name w:val="WW8Num15z0"/>
    <w:qFormat/>
    <w:rPr>
      <w:rFonts w:ascii="Calibri" w:hAnsi="Calibri" w:cs="Calibri"/>
    </w:rPr>
  </w:style>
  <w:style w:type="character" w:styleId="Rimandonotaapidipagina">
    <w:name w:val="Rimando nota a piè di pagina"/>
    <w:qFormat/>
    <w:rPr>
      <w:vertAlign w:val="superscript"/>
    </w:rPr>
  </w:style>
  <w:style w:type="character" w:styleId="Caratterinotaapidipagina">
    <w:name w:val="Caratteri nota a piè di pagina"/>
    <w:qFormat/>
    <w:rPr>
      <w:vertAlign w:val="superscrip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character" w:styleId="ListLabel127">
    <w:name w:val="ListLabel 127"/>
    <w:qFormat/>
    <w:rPr>
      <w:rFonts w:ascii="Arial" w:hAnsi="Arial" w:cs="Symbol"/>
      <w:sz w:val="20"/>
    </w:rPr>
  </w:style>
  <w:style w:type="character" w:styleId="ListLabel128">
    <w:name w:val="ListLabel 128"/>
    <w:qFormat/>
    <w:rPr>
      <w:rFonts w:ascii="Arial" w:hAnsi="Arial" w:cs="Arial"/>
      <w:sz w:val="20"/>
    </w:rPr>
  </w:style>
  <w:style w:type="character" w:styleId="ListLabel129">
    <w:name w:val="ListLabel 129"/>
    <w:qFormat/>
    <w:rPr>
      <w:rFonts w:ascii="Arial" w:hAnsi="Arial" w:cs="Symbol"/>
      <w:sz w:val="22"/>
      <w:lang w:eastAsia="it-IT"/>
    </w:rPr>
  </w:style>
  <w:style w:type="character" w:styleId="ListLabel130">
    <w:name w:val="ListLabel 130"/>
    <w:qFormat/>
    <w:rPr>
      <w:rFonts w:cs="Courier New"/>
    </w:rPr>
  </w:style>
  <w:style w:type="character" w:styleId="ListLabel131">
    <w:name w:val="ListLabel 131"/>
    <w:qFormat/>
    <w:rPr>
      <w:rFonts w:cs="Wingdings"/>
    </w:rPr>
  </w:style>
  <w:style w:type="character" w:styleId="ListLabel132">
    <w:name w:val="ListLabel 132"/>
    <w:qFormat/>
    <w:rPr>
      <w:rFonts w:cs="Symbol"/>
    </w:rPr>
  </w:style>
  <w:style w:type="character" w:styleId="ListLabel133">
    <w:name w:val="ListLabel 133"/>
    <w:qFormat/>
    <w:rPr>
      <w:rFonts w:cs="Courier New"/>
    </w:rPr>
  </w:style>
  <w:style w:type="character" w:styleId="ListLabel134">
    <w:name w:val="ListLabel 134"/>
    <w:qFormat/>
    <w:rPr>
      <w:rFonts w:cs="Wingdings"/>
    </w:rPr>
  </w:style>
  <w:style w:type="character" w:styleId="ListLabel135">
    <w:name w:val="ListLabel 135"/>
    <w:qFormat/>
    <w:rPr>
      <w:rFonts w:cs="Symbol"/>
    </w:rPr>
  </w:style>
  <w:style w:type="character" w:styleId="ListLabel136">
    <w:name w:val="ListLabel 136"/>
    <w:qFormat/>
    <w:rPr>
      <w:rFonts w:cs="Courier New"/>
    </w:rPr>
  </w:style>
  <w:style w:type="character" w:styleId="ListLabel137">
    <w:name w:val="ListLabel 137"/>
    <w:qFormat/>
    <w:rPr>
      <w:rFonts w:cs="Wingdings"/>
    </w:rPr>
  </w:style>
  <w:style w:type="character" w:styleId="ListLabel138">
    <w:name w:val="ListLabel 138"/>
    <w:qFormat/>
    <w:rPr>
      <w:rFonts w:ascii="Arial" w:hAnsi="Arial" w:cs="Symbol"/>
      <w:sz w:val="22"/>
    </w:rPr>
  </w:style>
  <w:style w:type="character" w:styleId="ListLabel139">
    <w:name w:val="ListLabel 139"/>
    <w:qFormat/>
    <w:rPr>
      <w:rFonts w:cs="Courier New"/>
    </w:rPr>
  </w:style>
  <w:style w:type="character" w:styleId="ListLabel140">
    <w:name w:val="ListLabel 140"/>
    <w:qFormat/>
    <w:rPr>
      <w:rFonts w:cs="Wingdings"/>
    </w:rPr>
  </w:style>
  <w:style w:type="character" w:styleId="ListLabel141">
    <w:name w:val="ListLabel 141"/>
    <w:qFormat/>
    <w:rPr>
      <w:rFonts w:cs="Symbol"/>
    </w:rPr>
  </w:style>
  <w:style w:type="character" w:styleId="ListLabel142">
    <w:name w:val="ListLabel 142"/>
    <w:qFormat/>
    <w:rPr>
      <w:rFonts w:cs="Courier New"/>
    </w:rPr>
  </w:style>
  <w:style w:type="character" w:styleId="ListLabel143">
    <w:name w:val="ListLabel 143"/>
    <w:qFormat/>
    <w:rPr>
      <w:rFonts w:cs="Wingdings"/>
    </w:rPr>
  </w:style>
  <w:style w:type="character" w:styleId="ListLabel144">
    <w:name w:val="ListLabel 144"/>
    <w:qFormat/>
    <w:rPr>
      <w:rFonts w:cs="Symbol"/>
    </w:rPr>
  </w:style>
  <w:style w:type="character" w:styleId="ListLabel145">
    <w:name w:val="ListLabel 145"/>
    <w:qFormat/>
    <w:rPr>
      <w:rFonts w:cs="Courier New"/>
    </w:rPr>
  </w:style>
  <w:style w:type="character" w:styleId="ListLabel146">
    <w:name w:val="ListLabel 146"/>
    <w:qFormat/>
    <w:rPr>
      <w:rFonts w:cs="Wingdings"/>
    </w:rPr>
  </w:style>
  <w:style w:type="character" w:styleId="ListLabel147">
    <w:name w:val="ListLabel 147"/>
    <w:qFormat/>
    <w:rPr>
      <w:rFonts w:ascii="Arial" w:hAnsi="Arial" w:cs="OpenSymbol"/>
      <w:b w:val="false"/>
      <w:sz w:val="22"/>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ascii="Arial" w:hAnsi="Arial" w:cs="Arial"/>
    </w:rPr>
  </w:style>
  <w:style w:type="character" w:styleId="ListLabel157">
    <w:name w:val="ListLabel 157"/>
    <w:qFormat/>
    <w:rPr>
      <w:rFonts w:ascii="Arial" w:hAnsi="Arial" w:cs="Arial"/>
    </w:rPr>
  </w:style>
  <w:style w:type="character" w:styleId="ListLabel158">
    <w:name w:val="ListLabel 158"/>
    <w:qFormat/>
    <w:rPr>
      <w:rFonts w:ascii="Arial" w:hAnsi="Arial" w:cs="Symbol"/>
      <w:sz w:val="20"/>
    </w:rPr>
  </w:style>
  <w:style w:type="character" w:styleId="ListLabel159">
    <w:name w:val="ListLabel 159"/>
    <w:qFormat/>
    <w:rPr>
      <w:rFonts w:ascii="Arial" w:hAnsi="Arial" w:cs="Arial"/>
      <w:sz w:val="20"/>
    </w:rPr>
  </w:style>
  <w:style w:type="character" w:styleId="ListLabel160">
    <w:name w:val="ListLabel 160"/>
    <w:qFormat/>
    <w:rPr>
      <w:rFonts w:ascii="Arial" w:hAnsi="Arial" w:cs="Symbol"/>
      <w:sz w:val="22"/>
      <w:lang w:eastAsia="it-IT"/>
    </w:rPr>
  </w:style>
  <w:style w:type="character" w:styleId="ListLabel161">
    <w:name w:val="ListLabel 161"/>
    <w:qFormat/>
    <w:rPr>
      <w:rFonts w:cs="Courier New"/>
    </w:rPr>
  </w:style>
  <w:style w:type="character" w:styleId="ListLabel162">
    <w:name w:val="ListLabel 162"/>
    <w:qFormat/>
    <w:rPr>
      <w:rFonts w:cs="Wingdings"/>
    </w:rPr>
  </w:style>
  <w:style w:type="character" w:styleId="ListLabel163">
    <w:name w:val="ListLabel 163"/>
    <w:qFormat/>
    <w:rPr>
      <w:rFonts w:cs="Symbol"/>
    </w:rPr>
  </w:style>
  <w:style w:type="character" w:styleId="ListLabel164">
    <w:name w:val="ListLabel 164"/>
    <w:qFormat/>
    <w:rPr>
      <w:rFonts w:cs="Courier New"/>
    </w:rPr>
  </w:style>
  <w:style w:type="character" w:styleId="ListLabel165">
    <w:name w:val="ListLabel 165"/>
    <w:qFormat/>
    <w:rPr>
      <w:rFonts w:cs="Wingdings"/>
    </w:rPr>
  </w:style>
  <w:style w:type="character" w:styleId="ListLabel166">
    <w:name w:val="ListLabel 166"/>
    <w:qFormat/>
    <w:rPr>
      <w:rFonts w:cs="Symbol"/>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ascii="Arial" w:hAnsi="Arial" w:cs="Symbol"/>
      <w:sz w:val="22"/>
    </w:rPr>
  </w:style>
  <w:style w:type="character" w:styleId="ListLabel170">
    <w:name w:val="ListLabel 170"/>
    <w:qFormat/>
    <w:rPr>
      <w:rFonts w:cs="Courier New"/>
    </w:rPr>
  </w:style>
  <w:style w:type="character" w:styleId="ListLabel171">
    <w:name w:val="ListLabel 171"/>
    <w:qFormat/>
    <w:rPr>
      <w:rFonts w:cs="Wingdings"/>
    </w:rPr>
  </w:style>
  <w:style w:type="character" w:styleId="ListLabel172">
    <w:name w:val="ListLabel 172"/>
    <w:qFormat/>
    <w:rPr>
      <w:rFonts w:cs="Symbol"/>
    </w:rPr>
  </w:style>
  <w:style w:type="character" w:styleId="ListLabel173">
    <w:name w:val="ListLabel 173"/>
    <w:qFormat/>
    <w:rPr>
      <w:rFonts w:cs="Courier New"/>
    </w:rPr>
  </w:style>
  <w:style w:type="character" w:styleId="ListLabel174">
    <w:name w:val="ListLabel 174"/>
    <w:qFormat/>
    <w:rPr>
      <w:rFonts w:cs="Wingdings"/>
    </w:rPr>
  </w:style>
  <w:style w:type="character" w:styleId="ListLabel175">
    <w:name w:val="ListLabel 175"/>
    <w:qFormat/>
    <w:rPr>
      <w:rFonts w:cs="Symbol"/>
    </w:rPr>
  </w:style>
  <w:style w:type="character" w:styleId="ListLabel176">
    <w:name w:val="ListLabel 176"/>
    <w:qFormat/>
    <w:rPr>
      <w:rFonts w:cs="Courier New"/>
    </w:rPr>
  </w:style>
  <w:style w:type="character" w:styleId="ListLabel177">
    <w:name w:val="ListLabel 177"/>
    <w:qFormat/>
    <w:rPr>
      <w:rFonts w:cs="Wingdings"/>
    </w:rPr>
  </w:style>
  <w:style w:type="character" w:styleId="ListLabel178">
    <w:name w:val="ListLabel 178"/>
    <w:qFormat/>
    <w:rPr>
      <w:rFonts w:ascii="Arial" w:hAnsi="Arial" w:cs="Arial"/>
    </w:rPr>
  </w:style>
  <w:style w:type="character" w:styleId="ListLabel179">
    <w:name w:val="ListLabel 179"/>
    <w:qFormat/>
    <w:rPr>
      <w:rFonts w:ascii="Arial" w:hAnsi="Arial" w:cs="Arial"/>
    </w:rPr>
  </w:style>
  <w:style w:type="character" w:styleId="ListLabel180">
    <w:name w:val="ListLabel 180"/>
    <w:qFormat/>
    <w:rPr>
      <w:rFonts w:cs="Symbol"/>
      <w:sz w:val="20"/>
    </w:rPr>
  </w:style>
  <w:style w:type="character" w:styleId="ListLabel181">
    <w:name w:val="ListLabel 181"/>
    <w:qFormat/>
    <w:rPr>
      <w:rFonts w:ascii="Arial" w:hAnsi="Arial" w:cs="Symbol"/>
      <w:sz w:val="22"/>
      <w:lang w:eastAsia="it-IT"/>
    </w:rPr>
  </w:style>
  <w:style w:type="character" w:styleId="ListLabel182">
    <w:name w:val="ListLabel 182"/>
    <w:qFormat/>
    <w:rPr>
      <w:rFonts w:cs="Courier New"/>
    </w:rPr>
  </w:style>
  <w:style w:type="character" w:styleId="ListLabel183">
    <w:name w:val="ListLabel 183"/>
    <w:qFormat/>
    <w:rPr>
      <w:rFonts w:cs="Wingdings"/>
    </w:rPr>
  </w:style>
  <w:style w:type="character" w:styleId="ListLabel184">
    <w:name w:val="ListLabel 184"/>
    <w:qFormat/>
    <w:rPr>
      <w:rFonts w:cs="Symbol"/>
    </w:rPr>
  </w:style>
  <w:style w:type="character" w:styleId="ListLabel185">
    <w:name w:val="ListLabel 185"/>
    <w:qFormat/>
    <w:rPr>
      <w:rFonts w:cs="Courier New"/>
    </w:rPr>
  </w:style>
  <w:style w:type="character" w:styleId="ListLabel186">
    <w:name w:val="ListLabel 186"/>
    <w:qFormat/>
    <w:rPr>
      <w:rFonts w:cs="Wingdings"/>
    </w:rPr>
  </w:style>
  <w:style w:type="character" w:styleId="ListLabel187">
    <w:name w:val="ListLabel 187"/>
    <w:qFormat/>
    <w:rPr>
      <w:rFonts w:cs="Symbol"/>
    </w:rPr>
  </w:style>
  <w:style w:type="character" w:styleId="ListLabel188">
    <w:name w:val="ListLabel 188"/>
    <w:qFormat/>
    <w:rPr>
      <w:rFonts w:cs="Courier New"/>
    </w:rPr>
  </w:style>
  <w:style w:type="character" w:styleId="ListLabel189">
    <w:name w:val="ListLabel 189"/>
    <w:qFormat/>
    <w:rPr>
      <w:rFonts w:cs="Wingdings"/>
    </w:rPr>
  </w:style>
  <w:style w:type="character" w:styleId="ListLabel190">
    <w:name w:val="ListLabel 190"/>
    <w:qFormat/>
    <w:rPr>
      <w:rFonts w:ascii="Arial" w:hAnsi="Arial" w:cs="Symbol"/>
      <w:sz w:val="22"/>
    </w:rPr>
  </w:style>
  <w:style w:type="character" w:styleId="ListLabel191">
    <w:name w:val="ListLabel 191"/>
    <w:qFormat/>
    <w:rPr>
      <w:rFonts w:cs="Courier New"/>
    </w:rPr>
  </w:style>
  <w:style w:type="character" w:styleId="ListLabel192">
    <w:name w:val="ListLabel 192"/>
    <w:qFormat/>
    <w:rPr>
      <w:rFonts w:cs="Wingdings"/>
    </w:rPr>
  </w:style>
  <w:style w:type="character" w:styleId="ListLabel193">
    <w:name w:val="ListLabel 193"/>
    <w:qFormat/>
    <w:rPr>
      <w:rFonts w:cs="Symbol"/>
    </w:rPr>
  </w:style>
  <w:style w:type="character" w:styleId="ListLabel194">
    <w:name w:val="ListLabel 194"/>
    <w:qFormat/>
    <w:rPr>
      <w:rFonts w:cs="Courier New"/>
    </w:rPr>
  </w:style>
  <w:style w:type="character" w:styleId="ListLabel195">
    <w:name w:val="ListLabel 195"/>
    <w:qFormat/>
    <w:rPr>
      <w:rFonts w:cs="Wingdings"/>
    </w:rPr>
  </w:style>
  <w:style w:type="character" w:styleId="ListLabel196">
    <w:name w:val="ListLabel 196"/>
    <w:qFormat/>
    <w:rPr>
      <w:rFonts w:cs="Symbol"/>
    </w:rPr>
  </w:style>
  <w:style w:type="character" w:styleId="ListLabel197">
    <w:name w:val="ListLabel 197"/>
    <w:qFormat/>
    <w:rPr>
      <w:rFonts w:cs="Courier New"/>
    </w:rPr>
  </w:style>
  <w:style w:type="character" w:styleId="ListLabel198">
    <w:name w:val="ListLabel 198"/>
    <w:qFormat/>
    <w:rPr>
      <w:rFonts w:cs="Wingdings"/>
    </w:rPr>
  </w:style>
  <w:style w:type="character" w:styleId="ListLabel199">
    <w:name w:val="ListLabel 199"/>
    <w:qFormat/>
    <w:rPr>
      <w:rFonts w:ascii="Arial" w:hAnsi="Arial" w:cs="Arial"/>
    </w:rPr>
  </w:style>
  <w:style w:type="character" w:styleId="ListLabel200">
    <w:name w:val="ListLabel 200"/>
    <w:qFormat/>
    <w:rPr>
      <w:rFonts w:ascii="Arial" w:hAnsi="Arial" w:cs="Arial"/>
    </w:rPr>
  </w:style>
  <w:style w:type="character" w:styleId="ListLabel201">
    <w:name w:val="ListLabel 201"/>
    <w:qFormat/>
    <w:rPr>
      <w:rFonts w:ascii="Arial" w:hAnsi="Arial" w:cs="Symbol"/>
      <w:sz w:val="22"/>
    </w:rPr>
  </w:style>
  <w:style w:type="character" w:styleId="ListLabel202">
    <w:name w:val="ListLabel 202"/>
    <w:qFormat/>
    <w:rPr>
      <w:rFonts w:ascii="Arial" w:hAnsi="Arial" w:cs="Symbol"/>
      <w:sz w:val="22"/>
      <w:lang w:eastAsia="it-IT"/>
    </w:rPr>
  </w:style>
  <w:style w:type="character" w:styleId="ListLabel203">
    <w:name w:val="ListLabel 203"/>
    <w:qFormat/>
    <w:rPr>
      <w:rFonts w:cs="Courier New"/>
    </w:rPr>
  </w:style>
  <w:style w:type="character" w:styleId="ListLabel204">
    <w:name w:val="ListLabel 204"/>
    <w:qFormat/>
    <w:rPr>
      <w:rFonts w:cs="Wingdings"/>
    </w:rPr>
  </w:style>
  <w:style w:type="character" w:styleId="ListLabel205">
    <w:name w:val="ListLabel 205"/>
    <w:qFormat/>
    <w:rPr>
      <w:rFonts w:cs="Symbol"/>
    </w:rPr>
  </w:style>
  <w:style w:type="character" w:styleId="ListLabel206">
    <w:name w:val="ListLabel 206"/>
    <w:qFormat/>
    <w:rPr>
      <w:rFonts w:cs="Courier New"/>
    </w:rPr>
  </w:style>
  <w:style w:type="character" w:styleId="ListLabel207">
    <w:name w:val="ListLabel 207"/>
    <w:qFormat/>
    <w:rPr>
      <w:rFonts w:cs="Wingdings"/>
    </w:rPr>
  </w:style>
  <w:style w:type="character" w:styleId="ListLabel208">
    <w:name w:val="ListLabel 208"/>
    <w:qFormat/>
    <w:rPr>
      <w:rFonts w:cs="Symbol"/>
    </w:rPr>
  </w:style>
  <w:style w:type="character" w:styleId="ListLabel209">
    <w:name w:val="ListLabel 209"/>
    <w:qFormat/>
    <w:rPr>
      <w:rFonts w:cs="Courier New"/>
    </w:rPr>
  </w:style>
  <w:style w:type="character" w:styleId="ListLabel210">
    <w:name w:val="ListLabel 210"/>
    <w:qFormat/>
    <w:rPr>
      <w:rFonts w:cs="Wingdings"/>
    </w:rPr>
  </w:style>
  <w:style w:type="character" w:styleId="ListLabel211">
    <w:name w:val="ListLabel 211"/>
    <w:qFormat/>
    <w:rPr>
      <w:rFonts w:ascii="Arial" w:hAnsi="Arial" w:cs="Symbol"/>
      <w:sz w:val="22"/>
    </w:rPr>
  </w:style>
  <w:style w:type="character" w:styleId="ListLabel212">
    <w:name w:val="ListLabel 212"/>
    <w:qFormat/>
    <w:rPr>
      <w:rFonts w:cs="Courier New"/>
    </w:rPr>
  </w:style>
  <w:style w:type="character" w:styleId="ListLabel213">
    <w:name w:val="ListLabel 213"/>
    <w:qFormat/>
    <w:rPr>
      <w:rFonts w:cs="Wingdings"/>
    </w:rPr>
  </w:style>
  <w:style w:type="character" w:styleId="ListLabel214">
    <w:name w:val="ListLabel 214"/>
    <w:qFormat/>
    <w:rPr>
      <w:rFonts w:cs="Symbol"/>
    </w:rPr>
  </w:style>
  <w:style w:type="character" w:styleId="ListLabel215">
    <w:name w:val="ListLabel 215"/>
    <w:qFormat/>
    <w:rPr>
      <w:rFonts w:cs="Courier New"/>
    </w:rPr>
  </w:style>
  <w:style w:type="character" w:styleId="ListLabel216">
    <w:name w:val="ListLabel 216"/>
    <w:qFormat/>
    <w:rPr>
      <w:rFonts w:cs="Wingdings"/>
    </w:rPr>
  </w:style>
  <w:style w:type="character" w:styleId="ListLabel217">
    <w:name w:val="ListLabel 217"/>
    <w:qFormat/>
    <w:rPr>
      <w:rFonts w:cs="Symbol"/>
    </w:rPr>
  </w:style>
  <w:style w:type="character" w:styleId="ListLabel218">
    <w:name w:val="ListLabel 218"/>
    <w:qFormat/>
    <w:rPr>
      <w:rFonts w:cs="Courier New"/>
    </w:rPr>
  </w:style>
  <w:style w:type="character" w:styleId="ListLabel219">
    <w:name w:val="ListLabel 219"/>
    <w:qFormat/>
    <w:rPr>
      <w:rFonts w:cs="Wingdings"/>
    </w:rPr>
  </w:style>
  <w:style w:type="character" w:styleId="ListLabel220">
    <w:name w:val="ListLabel 220"/>
    <w:qFormat/>
    <w:rPr>
      <w:rFonts w:ascii="Arial" w:hAnsi="Arial" w:cs="Arial"/>
    </w:rPr>
  </w:style>
  <w:style w:type="character" w:styleId="ListLabel221">
    <w:name w:val="ListLabel 221"/>
    <w:qFormat/>
    <w:rPr>
      <w:rFonts w:ascii="Arial" w:hAnsi="Arial" w:cs="Arial"/>
    </w:rPr>
  </w:style>
  <w:style w:type="character" w:styleId="ListLabel222">
    <w:name w:val="ListLabel 222"/>
    <w:qFormat/>
    <w:rPr>
      <w:rFonts w:ascii="Arial" w:hAnsi="Arial" w:cs="Symbol"/>
      <w:sz w:val="22"/>
    </w:rPr>
  </w:style>
  <w:style w:type="character" w:styleId="ListLabel223">
    <w:name w:val="ListLabel 223"/>
    <w:qFormat/>
    <w:rPr>
      <w:rFonts w:ascii="Arial" w:hAnsi="Arial" w:cs="Symbol"/>
      <w:sz w:val="22"/>
      <w:lang w:eastAsia="it-IT"/>
    </w:rPr>
  </w:style>
  <w:style w:type="character" w:styleId="ListLabel224">
    <w:name w:val="ListLabel 224"/>
    <w:qFormat/>
    <w:rPr>
      <w:rFonts w:cs="Courier New"/>
    </w:rPr>
  </w:style>
  <w:style w:type="character" w:styleId="ListLabel225">
    <w:name w:val="ListLabel 225"/>
    <w:qFormat/>
    <w:rPr>
      <w:rFonts w:cs="Wingdings"/>
    </w:rPr>
  </w:style>
  <w:style w:type="character" w:styleId="ListLabel226">
    <w:name w:val="ListLabel 226"/>
    <w:qFormat/>
    <w:rPr>
      <w:rFonts w:cs="Symbol"/>
    </w:rPr>
  </w:style>
  <w:style w:type="character" w:styleId="ListLabel227">
    <w:name w:val="ListLabel 227"/>
    <w:qFormat/>
    <w:rPr>
      <w:rFonts w:cs="Courier New"/>
    </w:rPr>
  </w:style>
  <w:style w:type="character" w:styleId="ListLabel228">
    <w:name w:val="ListLabel 228"/>
    <w:qFormat/>
    <w:rPr>
      <w:rFonts w:cs="Wingdings"/>
    </w:rPr>
  </w:style>
  <w:style w:type="character" w:styleId="ListLabel229">
    <w:name w:val="ListLabel 229"/>
    <w:qFormat/>
    <w:rPr>
      <w:rFonts w:cs="Symbol"/>
    </w:rPr>
  </w:style>
  <w:style w:type="character" w:styleId="ListLabel230">
    <w:name w:val="ListLabel 230"/>
    <w:qFormat/>
    <w:rPr>
      <w:rFonts w:cs="Courier New"/>
    </w:rPr>
  </w:style>
  <w:style w:type="character" w:styleId="ListLabel231">
    <w:name w:val="ListLabel 231"/>
    <w:qFormat/>
    <w:rPr>
      <w:rFonts w:cs="Wingdings"/>
    </w:rPr>
  </w:style>
  <w:style w:type="character" w:styleId="ListLabel232">
    <w:name w:val="ListLabel 232"/>
    <w:qFormat/>
    <w:rPr>
      <w:rFonts w:ascii="Arial" w:hAnsi="Arial" w:cs="Symbol"/>
      <w:sz w:val="22"/>
    </w:rPr>
  </w:style>
  <w:style w:type="character" w:styleId="ListLabel233">
    <w:name w:val="ListLabel 233"/>
    <w:qFormat/>
    <w:rPr>
      <w:rFonts w:cs="Courier New"/>
    </w:rPr>
  </w:style>
  <w:style w:type="character" w:styleId="ListLabel234">
    <w:name w:val="ListLabel 234"/>
    <w:qFormat/>
    <w:rPr>
      <w:rFonts w:cs="Wingdings"/>
    </w:rPr>
  </w:style>
  <w:style w:type="character" w:styleId="ListLabel235">
    <w:name w:val="ListLabel 235"/>
    <w:qFormat/>
    <w:rPr>
      <w:rFonts w:cs="Symbol"/>
    </w:rPr>
  </w:style>
  <w:style w:type="character" w:styleId="ListLabel236">
    <w:name w:val="ListLabel 236"/>
    <w:qFormat/>
    <w:rPr>
      <w:rFonts w:cs="Courier New"/>
    </w:rPr>
  </w:style>
  <w:style w:type="character" w:styleId="ListLabel237">
    <w:name w:val="ListLabel 237"/>
    <w:qFormat/>
    <w:rPr>
      <w:rFonts w:cs="Wingdings"/>
    </w:rPr>
  </w:style>
  <w:style w:type="character" w:styleId="ListLabel238">
    <w:name w:val="ListLabel 238"/>
    <w:qFormat/>
    <w:rPr>
      <w:rFonts w:cs="Symbol"/>
    </w:rPr>
  </w:style>
  <w:style w:type="character" w:styleId="ListLabel239">
    <w:name w:val="ListLabel 239"/>
    <w:qFormat/>
    <w:rPr>
      <w:rFonts w:cs="Courier New"/>
    </w:rPr>
  </w:style>
  <w:style w:type="character" w:styleId="ListLabel240">
    <w:name w:val="ListLabel 240"/>
    <w:qFormat/>
    <w:rPr>
      <w:rFonts w:cs="Wingdings"/>
    </w:rPr>
  </w:style>
  <w:style w:type="character" w:styleId="ListLabel241">
    <w:name w:val="ListLabel 241"/>
    <w:qFormat/>
    <w:rPr>
      <w:rFonts w:ascii="Arial" w:hAnsi="Arial" w:cs="Arial"/>
    </w:rPr>
  </w:style>
  <w:style w:type="character" w:styleId="ListLabel242">
    <w:name w:val="ListLabel 242"/>
    <w:qFormat/>
    <w:rPr>
      <w:rFonts w:ascii="Arial" w:hAnsi="Arial" w:cs="Arial"/>
    </w:rPr>
  </w:style>
  <w:style w:type="character" w:styleId="ListLabel243">
    <w:name w:val="ListLabel 243"/>
    <w:qFormat/>
    <w:rPr>
      <w:rFonts w:ascii="Arial" w:hAnsi="Arial" w:cs="Symbol"/>
      <w:sz w:val="22"/>
    </w:rPr>
  </w:style>
  <w:style w:type="character" w:styleId="ListLabel244">
    <w:name w:val="ListLabel 244"/>
    <w:qFormat/>
    <w:rPr>
      <w:rFonts w:ascii="Arial" w:hAnsi="Arial" w:cs="Symbol"/>
      <w:sz w:val="22"/>
      <w:lang w:eastAsia="it-IT"/>
    </w:rPr>
  </w:style>
  <w:style w:type="character" w:styleId="ListLabel245">
    <w:name w:val="ListLabel 245"/>
    <w:qFormat/>
    <w:rPr>
      <w:rFonts w:cs="Courier New"/>
    </w:rPr>
  </w:style>
  <w:style w:type="character" w:styleId="ListLabel246">
    <w:name w:val="ListLabel 246"/>
    <w:qFormat/>
    <w:rPr>
      <w:rFonts w:cs="Wingdings"/>
    </w:rPr>
  </w:style>
  <w:style w:type="character" w:styleId="ListLabel247">
    <w:name w:val="ListLabel 247"/>
    <w:qFormat/>
    <w:rPr>
      <w:rFonts w:cs="Symbol"/>
    </w:rPr>
  </w:style>
  <w:style w:type="character" w:styleId="ListLabel248">
    <w:name w:val="ListLabel 248"/>
    <w:qFormat/>
    <w:rPr>
      <w:rFonts w:cs="Courier New"/>
    </w:rPr>
  </w:style>
  <w:style w:type="character" w:styleId="ListLabel249">
    <w:name w:val="ListLabel 249"/>
    <w:qFormat/>
    <w:rPr>
      <w:rFonts w:cs="Wingdings"/>
    </w:rPr>
  </w:style>
  <w:style w:type="character" w:styleId="ListLabel250">
    <w:name w:val="ListLabel 250"/>
    <w:qFormat/>
    <w:rPr>
      <w:rFonts w:cs="Symbol"/>
    </w:rPr>
  </w:style>
  <w:style w:type="character" w:styleId="ListLabel251">
    <w:name w:val="ListLabel 251"/>
    <w:qFormat/>
    <w:rPr>
      <w:rFonts w:cs="Courier New"/>
    </w:rPr>
  </w:style>
  <w:style w:type="character" w:styleId="ListLabel252">
    <w:name w:val="ListLabel 252"/>
    <w:qFormat/>
    <w:rPr>
      <w:rFonts w:cs="Wingdings"/>
    </w:rPr>
  </w:style>
  <w:style w:type="character" w:styleId="ListLabel253">
    <w:name w:val="ListLabel 253"/>
    <w:qFormat/>
    <w:rPr>
      <w:rFonts w:ascii="Arial" w:hAnsi="Arial" w:cs="Symbol"/>
      <w:sz w:val="22"/>
    </w:rPr>
  </w:style>
  <w:style w:type="character" w:styleId="ListLabel254">
    <w:name w:val="ListLabel 254"/>
    <w:qFormat/>
    <w:rPr>
      <w:rFonts w:cs="Courier New"/>
    </w:rPr>
  </w:style>
  <w:style w:type="character" w:styleId="ListLabel255">
    <w:name w:val="ListLabel 255"/>
    <w:qFormat/>
    <w:rPr>
      <w:rFonts w:cs="Wingdings"/>
    </w:rPr>
  </w:style>
  <w:style w:type="character" w:styleId="ListLabel256">
    <w:name w:val="ListLabel 256"/>
    <w:qFormat/>
    <w:rPr>
      <w:rFonts w:cs="Symbol"/>
    </w:rPr>
  </w:style>
  <w:style w:type="character" w:styleId="ListLabel257">
    <w:name w:val="ListLabel 257"/>
    <w:qFormat/>
    <w:rPr>
      <w:rFonts w:cs="Courier New"/>
    </w:rPr>
  </w:style>
  <w:style w:type="character" w:styleId="ListLabel258">
    <w:name w:val="ListLabel 258"/>
    <w:qFormat/>
    <w:rPr>
      <w:rFonts w:cs="Wingdings"/>
    </w:rPr>
  </w:style>
  <w:style w:type="character" w:styleId="ListLabel259">
    <w:name w:val="ListLabel 259"/>
    <w:qFormat/>
    <w:rPr>
      <w:rFonts w:cs="Symbol"/>
    </w:rPr>
  </w:style>
  <w:style w:type="character" w:styleId="ListLabel260">
    <w:name w:val="ListLabel 260"/>
    <w:qFormat/>
    <w:rPr>
      <w:rFonts w:cs="Courier New"/>
    </w:rPr>
  </w:style>
  <w:style w:type="character" w:styleId="ListLabel261">
    <w:name w:val="ListLabel 261"/>
    <w:qFormat/>
    <w:rPr>
      <w:rFonts w:cs="Wingdings"/>
    </w:rPr>
  </w:style>
  <w:style w:type="character" w:styleId="ListLabel262">
    <w:name w:val="ListLabel 262"/>
    <w:qFormat/>
    <w:rPr>
      <w:rFonts w:ascii="Arial" w:hAnsi="Arial" w:cs="Arial"/>
    </w:rPr>
  </w:style>
  <w:style w:type="character" w:styleId="ListLabel263">
    <w:name w:val="ListLabel 263"/>
    <w:qFormat/>
    <w:rPr>
      <w:rFonts w:ascii="Arial" w:hAnsi="Arial" w:cs="Arial"/>
    </w:rPr>
  </w:style>
  <w:style w:type="paragraph" w:styleId="Titolo">
    <w:name w:val="Titolo"/>
    <w:basedOn w:val="Normal"/>
    <w:next w:val="Corpodeltesto"/>
    <w:qFormat/>
    <w:pPr>
      <w:keepNext w:val="true"/>
      <w:spacing w:before="240" w:after="120"/>
    </w:pPr>
    <w:rPr>
      <w:rFonts w:ascii="Trebuchet MS" w:hAnsi="Trebuchet MS" w:eastAsia="Microsoft YaHei" w:cs="Lucida Sans"/>
      <w:sz w:val="20"/>
      <w:szCs w:val="28"/>
    </w:rPr>
  </w:style>
  <w:style w:type="paragraph" w:styleId="Corpodeltesto">
    <w:name w:val="Body Text"/>
    <w:basedOn w:val="Normal"/>
    <w:pPr>
      <w:spacing w:before="0" w:after="140"/>
    </w:pPr>
    <w:rPr/>
  </w:style>
  <w:style w:type="paragraph" w:styleId="Elenco">
    <w:name w:val="List"/>
    <w:basedOn w:val="Corpodeltesto"/>
    <w:pPr/>
    <w:rPr>
      <w:rFonts w:ascii="Trebuchet MS" w:hAnsi="Trebuchet MS" w:cs="Mangal"/>
    </w:rPr>
  </w:style>
  <w:style w:type="paragraph" w:styleId="Didascalia">
    <w:name w:val="Caption"/>
    <w:basedOn w:val="Normal"/>
    <w:qFormat/>
    <w:pPr>
      <w:suppressLineNumbers/>
      <w:spacing w:before="120" w:after="120"/>
    </w:pPr>
    <w:rPr>
      <w:rFonts w:ascii="Trebuchet MS" w:hAnsi="Trebuchet MS" w:cs="Lucida Sans"/>
      <w:i/>
      <w:iCs/>
      <w:sz w:val="24"/>
      <w:szCs w:val="24"/>
    </w:rPr>
  </w:style>
  <w:style w:type="paragraph" w:styleId="Indice" w:customStyle="1">
    <w:name w:val="Indice"/>
    <w:basedOn w:val="Normal"/>
    <w:qFormat/>
    <w:pPr>
      <w:suppressLineNumbers/>
    </w:pPr>
    <w:rPr>
      <w:rFonts w:ascii="Trebuchet MS" w:hAnsi="Trebuchet MS" w:cs="Mangal"/>
    </w:rPr>
  </w:style>
  <w:style w:type="paragraph" w:styleId="Titoloprincipale">
    <w:name w:val="Title"/>
    <w:basedOn w:val="Normal"/>
    <w:next w:val="Corpodeltesto"/>
    <w:qFormat/>
    <w:pPr>
      <w:keepNext w:val="true"/>
      <w:spacing w:before="240" w:after="120"/>
    </w:pPr>
    <w:rPr>
      <w:rFonts w:ascii="Trebuchet MS" w:hAnsi="Trebuchet MS" w:eastAsia="Microsoft YaHei" w:cs="Mangal"/>
      <w:sz w:val="20"/>
      <w:szCs w:val="28"/>
    </w:rPr>
  </w:style>
  <w:style w:type="paragraph" w:styleId="Caption">
    <w:name w:val="caption"/>
    <w:basedOn w:val="Normal"/>
    <w:qFormat/>
    <w:pPr>
      <w:suppressLineNumbers/>
      <w:spacing w:before="120" w:after="120"/>
    </w:pPr>
    <w:rPr>
      <w:rFonts w:ascii="Trebuchet MS" w:hAnsi="Trebuchet MS" w:cs="Mangal"/>
      <w:i/>
      <w:iCs/>
      <w:sz w:val="24"/>
      <w:szCs w:val="24"/>
    </w:rPr>
  </w:style>
  <w:style w:type="paragraph" w:styleId="Intestazione">
    <w:name w:val="Header"/>
    <w:basedOn w:val="Normal"/>
    <w:link w:val="IntestazioneCarattere"/>
    <w:uiPriority w:val="99"/>
    <w:unhideWhenUsed/>
    <w:rsid w:val="00a96c2f"/>
    <w:pPr>
      <w:tabs>
        <w:tab w:val="clear" w:pos="408"/>
        <w:tab w:val="center" w:pos="4819" w:leader="none"/>
        <w:tab w:val="right" w:pos="9638" w:leader="none"/>
      </w:tabs>
      <w:spacing w:lineRule="auto" w:line="240" w:before="0" w:after="0"/>
    </w:pPr>
    <w:rPr/>
  </w:style>
  <w:style w:type="paragraph" w:styleId="Pidipagina">
    <w:name w:val="Footer"/>
    <w:basedOn w:val="Normal"/>
    <w:link w:val="PidipaginaCarattere"/>
    <w:uiPriority w:val="99"/>
    <w:unhideWhenUsed/>
    <w:rsid w:val="00a96c2f"/>
    <w:pPr>
      <w:tabs>
        <w:tab w:val="clear" w:pos="408"/>
        <w:tab w:val="center" w:pos="4819" w:leader="none"/>
        <w:tab w:val="right" w:pos="9638" w:leader="none"/>
      </w:tabs>
      <w:spacing w:lineRule="auto" w:line="240" w:before="0" w:after="0"/>
    </w:pPr>
    <w:rPr/>
  </w:style>
  <w:style w:type="paragraph" w:styleId="ListParagraph">
    <w:name w:val="List Paragraph"/>
    <w:basedOn w:val="Normal"/>
    <w:uiPriority w:val="34"/>
    <w:qFormat/>
    <w:rsid w:val="00a96c2f"/>
    <w:pPr>
      <w:spacing w:before="0" w:after="200"/>
      <w:ind w:left="720" w:hanging="0"/>
      <w:contextualSpacing/>
    </w:pPr>
    <w:rPr/>
  </w:style>
  <w:style w:type="paragraph" w:styleId="BalloonText">
    <w:name w:val="Balloon Text"/>
    <w:basedOn w:val="Normal"/>
    <w:link w:val="TestofumettoCarattere"/>
    <w:uiPriority w:val="99"/>
    <w:semiHidden/>
    <w:unhideWhenUsed/>
    <w:qFormat/>
    <w:rsid w:val="00cf4c05"/>
    <w:pPr>
      <w:spacing w:lineRule="auto" w:line="240" w:before="0" w:after="0"/>
    </w:pPr>
    <w:rPr>
      <w:rFonts w:ascii="Segoe UI" w:hAnsi="Segoe UI" w:cs="Segoe UI"/>
      <w:sz w:val="18"/>
      <w:szCs w:val="18"/>
    </w:rPr>
  </w:style>
  <w:style w:type="paragraph" w:styleId="Contenutotabella" w:customStyle="1">
    <w:name w:val="Contenuto tabella"/>
    <w:basedOn w:val="Normal"/>
    <w:qFormat/>
    <w:pPr>
      <w:suppressLineNumbers/>
    </w:pPr>
    <w:rPr/>
  </w:style>
  <w:style w:type="paragraph" w:styleId="Titolotabella" w:customStyle="1">
    <w:name w:val="Titolo tabella"/>
    <w:basedOn w:val="Contenutotabella"/>
    <w:qFormat/>
    <w:pPr>
      <w:jc w:val="center"/>
    </w:pPr>
    <w:rPr>
      <w:b/>
      <w:bCs/>
    </w:rPr>
  </w:style>
  <w:style w:type="paragraph" w:styleId="Western" w:customStyle="1">
    <w:name w:val="western"/>
    <w:basedOn w:val="Normal"/>
    <w:qFormat/>
    <w:rsid w:val="00002371"/>
    <w:pPr>
      <w:spacing w:beforeAutospacing="1" w:after="142"/>
    </w:pPr>
    <w:rPr>
      <w:rFonts w:ascii="Calibri" w:hAnsi="Calibri" w:eastAsia="Times New Roman" w:cs="Times New Roman"/>
      <w:color w:val="000000"/>
      <w:lang w:eastAsia="it-IT"/>
    </w:rPr>
  </w:style>
  <w:style w:type="paragraph" w:styleId="ListBullet">
    <w:name w:val="List Bullet"/>
    <w:basedOn w:val="Normal"/>
    <w:semiHidden/>
    <w:qFormat/>
    <w:rsid w:val="00002371"/>
    <w:pPr>
      <w:spacing w:lineRule="auto" w:line="240" w:before="0" w:after="0"/>
      <w:jc w:val="both"/>
    </w:pPr>
    <w:rPr>
      <w:rFonts w:ascii="Arial" w:hAnsi="Arial" w:eastAsia="Times New Roman" w:cs="Times New Roman"/>
      <w:szCs w:val="24"/>
      <w:lang w:eastAsia="it-IT"/>
    </w:rPr>
  </w:style>
  <w:style w:type="paragraph" w:styleId="Paragrafoelenco">
    <w:name w:val="Paragrafo elenco"/>
    <w:basedOn w:val="Normal"/>
    <w:qFormat/>
    <w:pPr>
      <w:ind w:left="720" w:hanging="0"/>
    </w:pPr>
    <w:rPr/>
  </w:style>
  <w:style w:type="paragraph" w:styleId="Puntoelenco">
    <w:name w:val="Punto elenco"/>
    <w:basedOn w:val="Normal"/>
    <w:qFormat/>
    <w:pPr>
      <w:spacing w:before="0" w:after="60"/>
    </w:pPr>
    <w:rPr/>
  </w:style>
  <w:style w:type="paragraph" w:styleId="Notaapidipagina">
    <w:name w:val="Footnote Text"/>
    <w:basedOn w:val="Normal"/>
    <w:pPr>
      <w:suppressLineNumbers/>
      <w:ind w:left="339" w:hanging="339"/>
    </w:pPr>
    <w:rPr>
      <w:sz w:val="20"/>
      <w:szCs w:val="20"/>
    </w:rPr>
  </w:style>
  <w:style w:type="paragraph" w:styleId="Corpo">
    <w:name w:val="Corpo"/>
    <w:qFormat/>
    <w:pPr>
      <w:keepNext w:val="false"/>
      <w:keepLines w:val="false"/>
      <w:pageBreakBefore w:val="false"/>
      <w:widowControl/>
      <w:pBdr/>
      <w:shd w:val="clear" w:color="auto" w:fill="auto"/>
      <w:suppressAutoHyphens w:val="false"/>
      <w:bidi w:val="0"/>
      <w:spacing w:lineRule="auto" w:line="276" w:beforeAutospacing="0" w:before="0" w:afterAutospacing="0" w:after="200"/>
      <w:ind w:left="0" w:right="0" w:hanging="0"/>
      <w:jc w:val="left"/>
    </w:pPr>
    <w:rPr>
      <w:rFonts w:ascii="Calibri" w:hAnsi="Calibri" w:eastAsia="Calibri" w:cs="Calibri"/>
      <w:b w:val="false"/>
      <w:bCs w:val="false"/>
      <w:i w:val="false"/>
      <w:iCs w:val="false"/>
      <w:caps w:val="false"/>
      <w:smallCaps w:val="false"/>
      <w:strike w:val="false"/>
      <w:dstrike w:val="false"/>
      <w:outline w:val="false"/>
      <w:color w:val="000000"/>
      <w:spacing w:val="0"/>
      <w:kern w:val="0"/>
      <w:position w:val="0"/>
      <w:sz w:val="22"/>
      <w:sz w:val="22"/>
      <w:szCs w:val="22"/>
      <w:u w:val="none" w:color="000000"/>
      <w:vertAlign w:val="baseline"/>
      <w:lang w:val="da-DK" w:eastAsia="en-US" w:bidi="ar-SA"/>
      <w14:textOutline>
        <w14:noFill/>
      </w14:textOutline>
      <w14:textFill>
        <w14:solidFill>
          <w14:srgbClr w14:val="000000"/>
        </w14:solidFill>
      </w14:textFill>
    </w:rPr>
  </w:style>
  <w:style w:type="paragraph" w:styleId="PuntoelencoA">
    <w:name w:val="Punto elenco A"/>
    <w:qFormat/>
    <w:pPr>
      <w:keepNext w:val="false"/>
      <w:keepLines w:val="false"/>
      <w:pageBreakBefore w:val="false"/>
      <w:widowControl/>
      <w:pBdr/>
      <w:shd w:val="clear" w:color="auto" w:fill="auto"/>
      <w:suppressAutoHyphens w:val="false"/>
      <w:bidi w:val="0"/>
      <w:spacing w:lineRule="auto" w:line="276" w:beforeAutospacing="0" w:before="0" w:afterAutospacing="0" w:after="60"/>
      <w:ind w:left="0" w:right="0" w:hanging="0"/>
      <w:jc w:val="left"/>
    </w:pPr>
    <w:rPr>
      <w:rFonts w:ascii="Calibri" w:hAnsi="Calibri" w:eastAsia="Calibri" w:cs="Calibri"/>
      <w:b w:val="false"/>
      <w:bCs w:val="false"/>
      <w:i w:val="false"/>
      <w:iCs w:val="false"/>
      <w:caps w:val="false"/>
      <w:smallCaps w:val="false"/>
      <w:strike w:val="false"/>
      <w:dstrike w:val="false"/>
      <w:outline w:val="false"/>
      <w:color w:val="000000"/>
      <w:spacing w:val="0"/>
      <w:kern w:val="0"/>
      <w:position w:val="0"/>
      <w:sz w:val="22"/>
      <w:sz w:val="22"/>
      <w:szCs w:val="22"/>
      <w:u w:val="none" w:color="000000"/>
      <w:vertAlign w:val="baseline"/>
      <w:lang w:val="it-IT" w:eastAsia="en-US" w:bidi="ar-SA"/>
      <w14:textFill>
        <w14:solidFill>
          <w14:srgbClr w14:val="000000"/>
        </w14:solidFill>
      </w14:textFill>
    </w:rPr>
  </w:style>
  <w:style w:type="numbering" w:styleId="NoList" w:default="1">
    <w:name w:val="No List"/>
    <w:uiPriority w:val="99"/>
    <w:semiHidden/>
    <w:unhideWhenUsed/>
    <w:qFormat/>
  </w:style>
  <w:style w:type="numbering" w:styleId="WW8Num32">
    <w:name w:val="WW8Num32"/>
    <w:qFormat/>
  </w:style>
  <w:style w:type="numbering" w:styleId="WW8Num37">
    <w:name w:val="WW8Num37"/>
    <w:qFormat/>
  </w:style>
  <w:style w:type="numbering" w:styleId="WW8Num133">
    <w:name w:val="WW8Num133"/>
    <w:qFormat/>
  </w:style>
  <w:style w:type="numbering" w:styleId="WW8Num18">
    <w:name w:val="WW8Num18"/>
    <w:qFormat/>
  </w:style>
  <w:style w:type="numbering" w:styleId="WW8Num31">
    <w:name w:val="WW8Num31"/>
    <w:qFormat/>
  </w:style>
  <w:style w:type="numbering" w:styleId="WW8Num15">
    <w:name w:val="WW8Num15"/>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59"/>
    <w:unhideWhenUsed/>
    <w:rsid w:val="005543c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ondoprog.iip@pec.mit.gov.it" TargetMode="External"/><Relationship Id="rId3" Type="http://schemas.openxmlformats.org/officeDocument/2006/relationships/hyperlink" Target="mailto:nnn@pec.nnn.it" TargetMode="External"/><Relationship Id="rId4" Type="http://schemas.openxmlformats.org/officeDocument/2006/relationships/hyperlink" Target="mailto:fondoprog.iip@pec.mit.gov.it" TargetMode="External"/><Relationship Id="rId5" Type="http://schemas.openxmlformats.org/officeDocument/2006/relationships/hyperlink" Target="mailto:fondoprog.iip@pec.mit.gov.it" TargetMode="External"/><Relationship Id="rId6" Type="http://schemas.openxmlformats.org/officeDocument/2006/relationships/hyperlink" Target="mailto:fondoprog.iip@pec.mit.gov.it" TargetMode="External"/><Relationship Id="rId7" Type="http://schemas.openxmlformats.org/officeDocument/2006/relationships/hyperlink" Target="mailto:fondoprog.iip@pec.mit.gov.it" TargetMode="Externa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1006</TotalTime>
  <Application>LibreOffice/6.2.2.2$Windows_X86_64 LibreOffice_project/2b840030fec2aae0fd2658d8d4f9548af4e3518d</Application>
  <Pages>11</Pages>
  <Words>3049</Words>
  <Characters>18268</Characters>
  <CharactersWithSpaces>21152</CharactersWithSpaces>
  <Paragraphs>207</Paragraphs>
  <Company>MIT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2019-08-08T15:05:00Z</dcterms:created>
  <dc:creator>Paola Bacchetta</dc:creator>
  <dc:description/>
  <dc:language>it-IT</dc:language>
  <cp:lastModifiedBy>Elisia Nardini</cp:lastModifiedBy>
  <cp:lastPrinted>2020-07-27T08:42:06Z</cp:lastPrinted>
  <dcterms:modified xsi:type="dcterms:W3CDTF">2020-07-27T10:28:32Z</dcterms:modified>
  <cp:revision>218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