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item3.xml" ContentType="application/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ALLEGATO 2)</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b/>
          <w:kern w:val="2"/>
          <w:sz w:val="24"/>
          <w:szCs w:val="24"/>
        </w:rPr>
        <w:t>SCHEMA DI CONVENZIONE PER L'ATTUAZIONE DEGLI INTERVENTI DI CUI ALL'ACCORDO GECO 9</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TRA</w:t>
      </w:r>
      <w:r>
        <w:rPr>
          <w:rFonts w:eastAsia="SimSun" w:cs="Courier New" w:ascii="Courier New" w:hAnsi="Courier New"/>
          <w:b/>
          <w:color w:val="0000FF"/>
          <w:kern w:val="2"/>
          <w:sz w:val="24"/>
          <w:szCs w:val="24"/>
        </w:rPr>
        <w:t xml:space="preserve"> </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REGIONE EMILIA-ROMAGNA, rappresentata dal Dirigente del Servizio Cultura e Giovani Gianni Cottafavi, nato a Modena il 29.12.1965, come stabilito dalla deliberazione della Giunta regionale n. 982 del 3/08/2020;</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e</w:t>
      </w:r>
    </w:p>
    <w:p>
      <w:pPr>
        <w:pStyle w:val="Normal"/>
        <w:tabs>
          <w:tab w:val="clear" w:pos="720"/>
          <w:tab w:val="left" w:pos="390" w:leader="none"/>
        </w:tabs>
        <w:suppressAutoHyphens w:val="true"/>
        <w:spacing w:lineRule="auto" w:line="276" w:before="120" w:after="120"/>
        <w:ind w:right="-57"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COMUNE DI REGGIO EMILIA, rappresentato dal dirigente ad interim del Servizio Officina Educativa Dott. Roberto Montagnani nato a Reggio Emilia il 20/09/1966, domiciliato per la carica in P.zza Prampolini n.1, Reggio Emilia, autorizzato con</w:t>
      </w:r>
      <w:r>
        <w:rPr>
          <w:rFonts w:eastAsia="Trebuchet MS" w:cs="Courier New" w:ascii="Courier New" w:hAnsi="Courier New"/>
          <w:color w:val="000000"/>
          <w:kern w:val="2"/>
          <w:sz w:val="24"/>
          <w:szCs w:val="24"/>
        </w:rPr>
        <w:t xml:space="preserve"> </w:t>
      </w:r>
      <w:r>
        <w:rPr>
          <w:rFonts w:eastAsia="Arial" w:cs="Arial" w:ascii="Courier New" w:hAnsi="Courier New"/>
          <w:bCs/>
          <w:iCs/>
          <w:color w:val="000000"/>
          <w:kern w:val="2"/>
          <w:sz w:val="24"/>
          <w:szCs w:val="24"/>
          <w:lang w:eastAsia="ar-SA"/>
        </w:rPr>
        <w:t xml:space="preserve">provvedimento del Sindaco pg. n. 106555 del 29.06.2020, </w:t>
      </w:r>
      <w:r>
        <w:rPr>
          <w:rFonts w:eastAsia="SimSun" w:cs="Courier New" w:ascii="Courier New" w:hAnsi="Courier New"/>
          <w:kern w:val="2"/>
          <w:sz w:val="24"/>
          <w:szCs w:val="24"/>
        </w:rPr>
        <w:t>che agisce in nome e per conto dello stesso Comune di Reggio Emilia;</w:t>
      </w:r>
    </w:p>
    <w:p>
      <w:pPr>
        <w:pStyle w:val="Normal"/>
        <w:widowControl w:val="false"/>
        <w:suppressAutoHyphens w:val="true"/>
        <w:spacing w:lineRule="auto" w:line="276" w:before="0" w:after="200"/>
        <w:ind w:right="-82" w:hanging="0"/>
        <w:jc w:val="both"/>
        <w:textAlignment w:val="baseline"/>
        <w:rPr>
          <w:rFonts w:ascii="Calibri" w:hAnsi="Calibri" w:eastAsia="SimSun" w:cs="Courier New"/>
          <w:kern w:val="2"/>
          <w:sz w:val="24"/>
          <w:szCs w:val="24"/>
        </w:rPr>
      </w:pPr>
      <w:r>
        <w:rPr>
          <w:rFonts w:eastAsia="SimSun" w:cs="Courier New" w:ascii="Courier New" w:hAnsi="Courier New"/>
          <w:kern w:val="2"/>
          <w:sz w:val="24"/>
          <w:szCs w:val="24"/>
        </w:rPr>
        <w:t xml:space="preserve">Premesso che: </w:t>
      </w:r>
    </w:p>
    <w:p>
      <w:pPr>
        <w:pStyle w:val="Normal"/>
        <w:widowControl w:val="false"/>
        <w:numPr>
          <w:ilvl w:val="0"/>
          <w:numId w:val="3"/>
        </w:numPr>
        <w:tabs>
          <w:tab w:val="clear" w:pos="720"/>
          <w:tab w:val="left" w:pos="709" w:leader="none"/>
        </w:tabs>
        <w:suppressAutoHyphens w:val="true"/>
        <w:spacing w:lineRule="auto" w:line="240" w:before="120" w:after="120"/>
        <w:jc w:val="both"/>
        <w:textAlignment w:val="baseline"/>
        <w:rPr>
          <w:rFonts w:ascii="Courier New" w:hAnsi="Courier New" w:eastAsia="Times New Roman" w:cs="Courier New"/>
          <w:sz w:val="24"/>
          <w:szCs w:val="24"/>
          <w:lang w:eastAsia="ar-SA"/>
        </w:rPr>
      </w:pPr>
      <w:r>
        <w:rPr>
          <w:rFonts w:eastAsia="Times New Roman" w:cs="Courier New" w:ascii="Courier New" w:hAnsi="Courier New"/>
          <w:sz w:val="24"/>
          <w:szCs w:val="24"/>
          <w:lang w:eastAsia="ar-SA"/>
        </w:rPr>
        <w:t>in sede di Conferenza Unificata Rep. 14/CU, in data 13 Febbraio 2019 è stata sancita l’Intesa tra il Governo, le Regioni e Province Autonome di Trento e Bolzano e gli Enti locali, ai sensi dell’articolo 8, comma 6, della legge 5 giugno 2003, n. 131, (di seguito denominata “Intesa”) sulla ripartizione per l’anno 2019 del “Fondo nazionale per le politiche giovanili di cui all’art. 19, comma 2, del decreto legge 4 luglio 2006, n. 223, convertito, con modificazioni, dalla legge 4 agosto 2006, n. 248";</w:t>
      </w:r>
    </w:p>
    <w:p>
      <w:pPr>
        <w:pStyle w:val="Normal"/>
        <w:widowControl w:val="false"/>
        <w:numPr>
          <w:ilvl w:val="0"/>
          <w:numId w:val="3"/>
        </w:numPr>
        <w:tabs>
          <w:tab w:val="clear" w:pos="720"/>
          <w:tab w:val="left" w:pos="709" w:leader="none"/>
        </w:tabs>
        <w:suppressAutoHyphens w:val="true"/>
        <w:spacing w:lineRule="auto" w:line="240" w:before="120" w:after="120"/>
        <w:jc w:val="both"/>
        <w:textAlignment w:val="baseline"/>
        <w:rPr>
          <w:rFonts w:ascii="Courier New" w:hAnsi="Courier New" w:eastAsia="Times New Roman" w:cs="Courier New"/>
          <w:sz w:val="24"/>
          <w:szCs w:val="24"/>
          <w:lang w:eastAsia="ar-SA"/>
        </w:rPr>
      </w:pPr>
      <w:r>
        <w:rPr>
          <w:rFonts w:eastAsia="Times New Roman" w:cs="Courier New" w:ascii="Courier New" w:hAnsi="Courier New"/>
          <w:sz w:val="24"/>
          <w:szCs w:val="24"/>
          <w:lang w:eastAsia="ar-SA"/>
        </w:rPr>
        <w:t>il Decreto 21 marzo 2019 a firma del Sottosegretario di Stato alla Presidenza del Consiglio dei Ministri con delega in materia di pari opportunità e politiche giovanili e servizio civile universale, registrato dalla Corte dei conti in data 22 maggio 2019, al n. 983, in attuazione dell’Intesa, ha provveduto al riparto del “Fondo per le politiche giovanili per l’anno 2019”, assegnando alle Regioni ed alle Province Autonome risorse per un ammontare complessivo di euro 9.703.598,00;</w:t>
      </w:r>
    </w:p>
    <w:p>
      <w:pPr>
        <w:pStyle w:val="Normal"/>
        <w:widowControl w:val="false"/>
        <w:numPr>
          <w:ilvl w:val="0"/>
          <w:numId w:val="3"/>
        </w:numPr>
        <w:tabs>
          <w:tab w:val="clear" w:pos="720"/>
          <w:tab w:val="left" w:pos="709" w:leader="none"/>
        </w:tabs>
        <w:suppressAutoHyphens w:val="true"/>
        <w:spacing w:lineRule="auto" w:line="240" w:before="120" w:after="120"/>
        <w:jc w:val="both"/>
        <w:textAlignment w:val="baseline"/>
        <w:rPr>
          <w:rFonts w:ascii="Courier New" w:hAnsi="Courier New" w:eastAsia="Times New Roman" w:cs="Courier New"/>
          <w:sz w:val="24"/>
          <w:szCs w:val="24"/>
          <w:lang w:eastAsia="ar-SA"/>
        </w:rPr>
      </w:pPr>
      <w:r>
        <w:rPr>
          <w:rFonts w:eastAsia="Times New Roman" w:cs="Courier New" w:ascii="Courier New" w:hAnsi="Courier New"/>
          <w:sz w:val="24"/>
          <w:szCs w:val="24"/>
          <w:lang w:eastAsia="ar-SA"/>
        </w:rPr>
        <w:t>l'Accordo di collaborazione, in attuazione della predetta Intesa, siglato digitalmente, ai sensi dell'art. 15 della Legge 7 agosto 1990 n. 241, nostro RPI n. 548 del 24/10/2019 in, che disciplina le modalità di realizzazione delle attività - anche in collaborazione con altri Enti, tramite sottoscrizione di specifiche convenzioni e il monitoraggio semestrale dell’iniziativa regionale, a seguito dell'approvazione della suddetta proposta progettuale (GECO 9 – Giovani evoluti e consapevoli) tra il Dipartimento della Gioventù e del Servizio Civile Nazionale della Presidenza del Consiglio del Ministri e la Regione Emilia-Romagna;</w:t>
      </w:r>
    </w:p>
    <w:p>
      <w:pPr>
        <w:pStyle w:val="Normal"/>
        <w:widowControl w:val="false"/>
        <w:numPr>
          <w:ilvl w:val="0"/>
          <w:numId w:val="3"/>
        </w:numPr>
        <w:tabs>
          <w:tab w:val="clear" w:pos="720"/>
          <w:tab w:val="left" w:pos="709" w:leader="none"/>
        </w:tabs>
        <w:suppressAutoHyphens w:val="true"/>
        <w:spacing w:lineRule="auto" w:line="240" w:before="120" w:after="120"/>
        <w:jc w:val="both"/>
        <w:textAlignment w:val="baseline"/>
        <w:rPr>
          <w:rFonts w:ascii="Courier New" w:hAnsi="Courier New" w:eastAsia="Times New Roman" w:cs="Courier New"/>
          <w:sz w:val="24"/>
          <w:szCs w:val="24"/>
          <w:lang w:eastAsia="ar-SA"/>
        </w:rPr>
      </w:pPr>
      <w:r>
        <w:rPr>
          <w:rFonts w:eastAsia="Times New Roman" w:cs="Courier New" w:ascii="Courier New" w:hAnsi="Courier New"/>
          <w:sz w:val="24"/>
          <w:szCs w:val="24"/>
          <w:lang w:eastAsia="ar-SA"/>
        </w:rPr>
        <w:t>a seguito della registrazione del decreto di approvazione del sopracitato Accordo di collaborazione, in data 8 novembre 2019 con ordine n.3428, il Dipartimento per le Politiche Giovanili e il Servizio civile universale della Presidenza del Consiglio dei Ministri ha provveduto ad impegnare contabilmente, a favore di codesta Regione, a valere sull'Esercizio Finanziario 2019, l'importo di € 687.015,00;</w:t>
      </w:r>
    </w:p>
    <w:p>
      <w:pPr>
        <w:pStyle w:val="Normal"/>
        <w:widowControl w:val="false"/>
        <w:numPr>
          <w:ilvl w:val="0"/>
          <w:numId w:val="3"/>
        </w:numPr>
        <w:tabs>
          <w:tab w:val="clear" w:pos="720"/>
          <w:tab w:val="left" w:pos="709" w:leader="none"/>
        </w:tabs>
        <w:suppressAutoHyphens w:val="true"/>
        <w:spacing w:lineRule="auto" w:line="276" w:before="120" w:after="20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il D. Lgs. 196/2003 “Codice in materia di protezione dei dati personali” come modificato dal D.Lgs. 101/2018 nonché </w:t>
      </w:r>
      <w:r>
        <w:rPr>
          <w:rFonts w:eastAsia="SimSun" w:cs="Courier New" w:ascii="Courier New" w:hAnsi="Courier New"/>
          <w:color w:val="FF0000"/>
          <w:kern w:val="2"/>
          <w:sz w:val="24"/>
          <w:szCs w:val="24"/>
        </w:rPr>
        <w:t>i</w:t>
      </w:r>
      <w:r>
        <w:rPr>
          <w:rFonts w:eastAsia="SimSun" w:cs="Courier New" w:ascii="Courier New" w:hAnsi="Courier New"/>
          <w:kern w:val="2"/>
          <w:sz w:val="24"/>
          <w:szCs w:val="24"/>
        </w:rPr>
        <w:t xml:space="preserv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w:t>
      </w:r>
    </w:p>
    <w:p>
      <w:pPr>
        <w:pStyle w:val="Normal"/>
        <w:widowControl w:val="false"/>
        <w:tabs>
          <w:tab w:val="clear" w:pos="720"/>
          <w:tab w:val="left" w:pos="709" w:leader="none"/>
        </w:tabs>
        <w:suppressAutoHyphens w:val="true"/>
        <w:spacing w:before="120" w:after="160"/>
        <w:ind w:left="360"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Dato atto che:</w:t>
      </w:r>
    </w:p>
    <w:p>
      <w:pPr>
        <w:pStyle w:val="TESTO"/>
        <w:numPr>
          <w:ilvl w:val="0"/>
          <w:numId w:val="9"/>
        </w:numPr>
        <w:tabs>
          <w:tab w:val="clear" w:pos="709"/>
        </w:tabs>
        <w:ind w:left="709" w:hanging="360"/>
        <w:rPr>
          <w:rFonts w:eastAsia="SimSun"/>
          <w:kern w:val="2"/>
          <w:szCs w:val="24"/>
          <w:lang w:eastAsia="en-US"/>
        </w:rPr>
      </w:pPr>
      <w:r>
        <w:rPr>
          <w:rFonts w:eastAsia="SimSun"/>
          <w:kern w:val="2"/>
          <w:szCs w:val="24"/>
          <w:lang w:eastAsia="en-US"/>
        </w:rPr>
        <w:t xml:space="preserve">la Giunta della Regione Emilia-Romagna, con propria deliberazione n. 982/2020 ha dato attuazione ai seguenti interventi, articolati nelle tre linee di azione: “La partecipazione inclusiva dei giovani alla vita sociale e politica dei territori”, “Progetti per l’autonomia e la realizzazione dei giovani”, “Attività di orientamento multilivello e disseminazione: creatività giovanile e luoghi di aggregazione anche per il contrasto alle nuove dipendenze giovanili, </w:t>
      </w:r>
      <w:r>
        <w:rPr>
          <w:rFonts w:eastAsia="SimSun"/>
          <w:kern w:val="2"/>
          <w:szCs w:val="24"/>
        </w:rPr>
        <w:t>sulla base di quanto indicato nell’Accordo medesimo e in particolare nella Relazione tecnica e nella scheda/intervento;</w:t>
      </w:r>
    </w:p>
    <w:p>
      <w:pPr>
        <w:pStyle w:val="Normal"/>
        <w:widowControl w:val="false"/>
        <w:numPr>
          <w:ilvl w:val="0"/>
          <w:numId w:val="5"/>
        </w:numPr>
        <w:suppressAutoHyphens w:val="true"/>
        <w:spacing w:lineRule="auto" w:line="276" w:before="0" w:after="24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con la succitata deliberazione, n. 982/2020</w:t>
      </w:r>
      <w:r>
        <w:rPr>
          <w:rFonts w:eastAsia="SimSun"/>
          <w:kern w:val="2"/>
          <w:szCs w:val="24"/>
        </w:rPr>
        <w:t xml:space="preserve"> </w:t>
      </w:r>
      <w:r>
        <w:rPr>
          <w:rFonts w:eastAsia="SimSun" w:cs="Courier New" w:ascii="Courier New" w:hAnsi="Courier New"/>
          <w:kern w:val="2"/>
          <w:sz w:val="24"/>
          <w:szCs w:val="24"/>
        </w:rPr>
        <w:t xml:space="preserve">è stato altresì approvato lo schema della presente convenzione per disciplinare la collaborazione fra la Regione e i singoli soggetti coinvolti nell’attuazione degli interventi; </w:t>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Tutto ciò premesso e considerato;</w:t>
      </w:r>
    </w:p>
    <w:p>
      <w:pPr>
        <w:pStyle w:val="Normal"/>
        <w:widowControl w:val="false"/>
        <w:suppressAutoHyphens w:val="true"/>
        <w:spacing w:lineRule="auto" w:line="276" w:before="120" w:after="120"/>
        <w:ind w:left="2124" w:right="-82" w:firstLine="708"/>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tra la Regione Emilia-Romagna</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e</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cs="Courier New" w:ascii="Courier New" w:hAnsi="Courier New"/>
          <w:szCs w:val="24"/>
        </w:rPr>
        <w:t>Comune di Reggio Emilia</w:t>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Si conviene e si stipula quanto segue:</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 xml:space="preserve">ART. 1 </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Oggetto</w:t>
      </w:r>
    </w:p>
    <w:p>
      <w:pPr>
        <w:pStyle w:val="TESTO"/>
        <w:numPr>
          <w:ilvl w:val="0"/>
          <w:numId w:val="9"/>
        </w:numPr>
        <w:tabs>
          <w:tab w:val="clear" w:pos="709"/>
        </w:tabs>
        <w:ind w:left="709" w:hanging="360"/>
        <w:rPr>
          <w:rFonts w:eastAsia="SimSun"/>
          <w:kern w:val="2"/>
          <w:szCs w:val="24"/>
          <w:lang w:eastAsia="en-US"/>
        </w:rPr>
      </w:pPr>
      <w:r>
        <w:rPr>
          <w:rFonts w:eastAsia="SimSun"/>
          <w:kern w:val="2"/>
          <w:szCs w:val="24"/>
        </w:rPr>
        <w:t xml:space="preserve">la Regione Emilia-Romagna (di seguito indicata come Regione) e il Comune di Reggio Emilia sottoscrivono la presente convenzione per l’attuazione degli interventi </w:t>
      </w:r>
      <w:r>
        <w:rPr>
          <w:rFonts w:eastAsia="SimSun"/>
          <w:kern w:val="2"/>
          <w:szCs w:val="24"/>
          <w:lang w:eastAsia="en-US"/>
        </w:rPr>
        <w:t>“La partecipazione inclusiva dei giovani alla vita sociale e politica dei territori”</w:t>
      </w:r>
      <w:r>
        <w:rPr>
          <w:rFonts w:eastAsia="SimSun"/>
          <w:kern w:val="2"/>
          <w:szCs w:val="24"/>
        </w:rPr>
        <w:t xml:space="preserve"> e </w:t>
      </w:r>
      <w:r>
        <w:rPr>
          <w:rFonts w:eastAsia="SimSun"/>
          <w:kern w:val="2"/>
          <w:szCs w:val="24"/>
          <w:lang w:eastAsia="en-US"/>
        </w:rPr>
        <w:t xml:space="preserve">“Attività di orientamento multilivello e disseminazione: creatività giovanile e luoghi di aggregazione anche per il contrasto alle nuove dipendenze giovanili” </w:t>
      </w:r>
      <w:r>
        <w:rPr>
          <w:rFonts w:eastAsia="SimSun"/>
          <w:kern w:val="2"/>
          <w:szCs w:val="24"/>
        </w:rPr>
        <w:t xml:space="preserve">previsti nell’Accordo “GECO 9- </w:t>
      </w:r>
      <w:r>
        <w:rPr>
          <w:rFonts w:eastAsia="SimSun"/>
          <w:i/>
          <w:iCs/>
          <w:kern w:val="2"/>
          <w:szCs w:val="24"/>
        </w:rPr>
        <w:t>Giovani Evoluti e Consapevoli</w:t>
      </w:r>
      <w:r>
        <w:rPr>
          <w:rFonts w:eastAsia="SimSun"/>
          <w:kern w:val="2"/>
          <w:szCs w:val="24"/>
        </w:rPr>
        <w:t xml:space="preserve">” (di seguito </w:t>
      </w:r>
      <w:r>
        <w:rPr>
          <w:rFonts w:eastAsia="SimSun"/>
          <w:i/>
          <w:iCs/>
          <w:kern w:val="2"/>
          <w:szCs w:val="24"/>
        </w:rPr>
        <w:t>GECO 9</w:t>
      </w:r>
      <w:r>
        <w:rPr>
          <w:rFonts w:eastAsia="SimSun"/>
          <w:kern w:val="2"/>
          <w:szCs w:val="24"/>
        </w:rPr>
        <w:t>).</w:t>
      </w:r>
    </w:p>
    <w:p>
      <w:pPr>
        <w:pStyle w:val="ListParagraph"/>
        <w:widowControl w:val="false"/>
        <w:numPr>
          <w:ilvl w:val="0"/>
          <w:numId w:val="9"/>
        </w:numPr>
        <w:suppressAutoHyphens w:val="true"/>
        <w:spacing w:lineRule="auto" w:line="240" w:before="120" w:after="120"/>
        <w:ind w:left="709"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gli interventi, di cui al comma 1, in coerenza con quanto indicato nella scheda/intervento contenuta nella Relazione Tecnica dell’APQ </w:t>
      </w:r>
      <w:r>
        <w:rPr>
          <w:rFonts w:eastAsia="SimSun" w:cs="Courier New" w:ascii="Courier New" w:hAnsi="Courier New"/>
          <w:i/>
          <w:iCs/>
          <w:kern w:val="2"/>
          <w:sz w:val="24"/>
          <w:szCs w:val="24"/>
        </w:rPr>
        <w:t>GECO 9</w:t>
      </w:r>
      <w:r>
        <w:rPr>
          <w:rFonts w:eastAsia="SimSun" w:cs="Courier New" w:ascii="Courier New" w:hAnsi="Courier New"/>
          <w:kern w:val="2"/>
          <w:sz w:val="24"/>
          <w:szCs w:val="24"/>
        </w:rPr>
        <w:t>, vengono</w:t>
      </w:r>
      <w:r>
        <w:rPr>
          <w:rFonts w:eastAsia="SimSun" w:cs="Courier New" w:ascii="Courier New" w:hAnsi="Courier New"/>
          <w:color w:val="FF0000"/>
          <w:kern w:val="2"/>
          <w:sz w:val="24"/>
          <w:szCs w:val="24"/>
        </w:rPr>
        <w:t xml:space="preserve"> </w:t>
      </w:r>
      <w:r>
        <w:rPr>
          <w:rFonts w:eastAsia="SimSun" w:cs="Courier New" w:ascii="Courier New" w:hAnsi="Courier New"/>
          <w:kern w:val="2"/>
          <w:sz w:val="24"/>
          <w:szCs w:val="24"/>
        </w:rPr>
        <w:t>meglio specificati e riassunti nei punti seguenti:</w:t>
      </w:r>
    </w:p>
    <w:p>
      <w:pPr>
        <w:pStyle w:val="Normal"/>
        <w:widowControl w:val="false"/>
        <w:suppressAutoHyphens w:val="true"/>
        <w:spacing w:lineRule="auto" w:line="276" w:before="120" w:after="120"/>
        <w:ind w:left="709"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w:t>
      </w:r>
      <w:r>
        <w:rPr>
          <w:rFonts w:eastAsia="SimSun" w:cs="Courier New" w:ascii="Courier New" w:hAnsi="Courier New"/>
          <w:b/>
          <w:bCs/>
          <w:kern w:val="2"/>
          <w:sz w:val="24"/>
          <w:szCs w:val="24"/>
        </w:rPr>
        <w:t>Scuola, città e regione come laboratori di partecipazione</w:t>
      </w:r>
      <w:r>
        <w:rPr>
          <w:rFonts w:eastAsia="SimSun" w:cs="Courier New" w:ascii="Courier New" w:hAnsi="Courier New"/>
          <w:kern w:val="2"/>
          <w:sz w:val="24"/>
          <w:szCs w:val="24"/>
        </w:rPr>
        <w:t xml:space="preserve">” nell’ambito dell’intervento “La partecipazione inclusiva dei giovani alla vita sociale e politica dei territori”: </w:t>
      </w:r>
    </w:p>
    <w:p>
      <w:pPr>
        <w:pStyle w:val="Normal"/>
        <w:widowControl w:val="false"/>
        <w:tabs>
          <w:tab w:val="clear" w:pos="720"/>
          <w:tab w:val="left" w:pos="709" w:leader="none"/>
        </w:tabs>
        <w:suppressAutoHyphens w:val="true"/>
        <w:spacing w:lineRule="auto" w:line="276" w:before="120" w:after="120"/>
        <w:ind w:left="709"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Obiettivi: </w:t>
      </w:r>
    </w:p>
    <w:p>
      <w:pPr>
        <w:pStyle w:val="ListParagraph"/>
        <w:widowControl w:val="false"/>
        <w:numPr>
          <w:ilvl w:val="0"/>
          <w:numId w:val="11"/>
        </w:numPr>
        <w:tabs>
          <w:tab w:val="clear" w:pos="720"/>
          <w:tab w:val="left" w:pos="709" w:leader="none"/>
        </w:tabs>
        <w:suppressAutoHyphens w:val="true"/>
        <w:spacing w:lineRule="auto" w:line="276" w:before="120" w:after="120"/>
        <w:ind w:left="1429" w:right="-82" w:hanging="360"/>
        <w:contextualSpacing/>
        <w:jc w:val="both"/>
        <w:textAlignment w:val="baseline"/>
        <w:rPr/>
      </w:pPr>
      <w:r>
        <w:rPr>
          <w:rFonts w:eastAsia="SimSun" w:cs="Courier New" w:ascii="Courier New" w:hAnsi="Courier New"/>
          <w:kern w:val="2"/>
          <w:sz w:val="24"/>
          <w:szCs w:val="24"/>
        </w:rPr>
        <w:t>promuovere il protagonismo dei giovani attraverso la formazione e l’accompagnamento a forme di partecipazione responsabile e consapevole, in contesti scolastici ed extrascolastici;</w:t>
      </w:r>
    </w:p>
    <w:p>
      <w:pPr>
        <w:pStyle w:val="Normal"/>
        <w:widowControl w:val="false"/>
        <w:numPr>
          <w:ilvl w:val="0"/>
          <w:numId w:val="11"/>
        </w:numPr>
        <w:tabs>
          <w:tab w:val="clear" w:pos="720"/>
          <w:tab w:val="left" w:pos="545" w:leader="none"/>
          <w:tab w:val="left" w:pos="1472" w:leader="none"/>
        </w:tabs>
        <w:suppressAutoHyphens w:val="true"/>
        <w:snapToGrid w:val="false"/>
        <w:spacing w:lineRule="auto" w:line="276" w:before="0" w:after="0"/>
        <w:jc w:val="both"/>
        <w:textAlignment w:val="baseline"/>
        <w:rPr/>
      </w:pPr>
      <w:r>
        <w:rPr>
          <w:rFonts w:eastAsia="Times New Roman" w:cs="Calibri Light" w:ascii="Courier New" w:hAnsi="Courier New"/>
          <w:sz w:val="24"/>
          <w:szCs w:val="24"/>
          <w:lang w:eastAsia="it-IT"/>
        </w:rPr>
        <w:t>facilitare esperienze di cittadinanza attiva in una dimensione di gruppo che va oltre alle appartenenze scolastiche specifiche e si concretizza in progetti partecipativi rivolti a più gruppi di giovani;</w:t>
      </w:r>
    </w:p>
    <w:p>
      <w:pPr>
        <w:pStyle w:val="ListParagraph"/>
        <w:widowControl w:val="false"/>
        <w:numPr>
          <w:ilvl w:val="0"/>
          <w:numId w:val="11"/>
        </w:numPr>
        <w:tabs>
          <w:tab w:val="clear" w:pos="720"/>
          <w:tab w:val="left" w:pos="709" w:leader="none"/>
        </w:tabs>
        <w:suppressAutoHyphens w:val="true"/>
        <w:spacing w:lineRule="auto" w:line="276" w:before="120" w:after="120"/>
        <w:ind w:left="1429"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favorire il confronto e lo scambio tra esperienze regionali di gestione diretta da parte di giovani attivi di spazi cittadini di partecipazione e di elaborazione culturale;</w:t>
      </w:r>
    </w:p>
    <w:p>
      <w:pPr>
        <w:pStyle w:val="ListParagraph"/>
        <w:widowControl w:val="false"/>
        <w:numPr>
          <w:ilvl w:val="0"/>
          <w:numId w:val="11"/>
        </w:numPr>
        <w:tabs>
          <w:tab w:val="clear" w:pos="720"/>
          <w:tab w:val="left" w:pos="709" w:leader="none"/>
        </w:tabs>
        <w:suppressAutoHyphens w:val="true"/>
        <w:spacing w:lineRule="auto" w:line="276" w:before="120" w:after="120"/>
        <w:ind w:left="1429" w:right="-82" w:hanging="360"/>
        <w:contextualSpacing/>
        <w:jc w:val="both"/>
        <w:textAlignment w:val="baseline"/>
        <w:rPr/>
      </w:pPr>
      <w:r>
        <w:rPr>
          <w:rFonts w:eastAsia="SimSun" w:cs="Courier New" w:ascii="Courier New" w:hAnsi="Courier New"/>
          <w:kern w:val="2"/>
          <w:sz w:val="24"/>
          <w:szCs w:val="24"/>
        </w:rPr>
        <w:t>promozione del coinvolgimento delle consulte studentesche delle diverse province della regione e delle relative scuole di appartenenza, anche nella dimensione del Festival dei Giovani.</w:t>
      </w:r>
    </w:p>
    <w:p>
      <w:pPr>
        <w:pStyle w:val="Normal"/>
        <w:widowControl w:val="false"/>
        <w:suppressAutoHyphens w:val="true"/>
        <w:spacing w:lineRule="auto" w:line="276" w:before="120" w:after="120"/>
        <w:ind w:left="851"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Azioni: </w:t>
      </w:r>
    </w:p>
    <w:p>
      <w:pPr>
        <w:pStyle w:val="ListParagraph"/>
        <w:widowControl w:val="false"/>
        <w:numPr>
          <w:ilvl w:val="0"/>
          <w:numId w:val="13"/>
        </w:numPr>
        <w:suppressAutoHyphens w:val="true"/>
        <w:spacing w:lineRule="auto" w:line="276" w:before="120" w:after="120"/>
        <w:ind w:left="1134"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attivazione di laboratori di cittadinanza attiva rivolti a studenti delle scuole secondarie di secondo grado e sviluppo del laboratorio avanzato di cittadinanza;</w:t>
      </w:r>
    </w:p>
    <w:p>
      <w:pPr>
        <w:pStyle w:val="ListParagraph"/>
        <w:widowControl w:val="false"/>
        <w:numPr>
          <w:ilvl w:val="0"/>
          <w:numId w:val="12"/>
        </w:numPr>
        <w:suppressAutoHyphens w:val="true"/>
        <w:spacing w:lineRule="auto" w:line="276" w:before="120" w:after="120"/>
        <w:ind w:left="1134"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elaborazione metodologica comparativa sui laboratori di cittadinanza in un’ottica di scambio e disseminazione regionale, in collaborazione con il Comune di Ravenna;</w:t>
      </w:r>
    </w:p>
    <w:p>
      <w:pPr>
        <w:pStyle w:val="ListParagraph"/>
        <w:widowControl w:val="false"/>
        <w:numPr>
          <w:ilvl w:val="0"/>
          <w:numId w:val="12"/>
        </w:numPr>
        <w:suppressAutoHyphens w:val="true"/>
        <w:spacing w:lineRule="auto" w:line="276" w:before="120" w:after="120"/>
        <w:ind w:left="1134" w:right="-82" w:hanging="360"/>
        <w:contextualSpacing/>
        <w:jc w:val="both"/>
        <w:textAlignment w:val="baseline"/>
        <w:rPr/>
      </w:pPr>
      <w:r>
        <w:rPr>
          <w:rFonts w:eastAsia="SimSun" w:cs="Courier New" w:ascii="Courier New" w:hAnsi="Courier New"/>
          <w:kern w:val="2"/>
          <w:sz w:val="24"/>
          <w:szCs w:val="24"/>
        </w:rPr>
        <w:t>scambio di best practices partecipative e gestionali in un’ottica di co-costruzione delle politiche giovanili regionali e restituzione pubblica finale (convegno/report/pubblicazione), anche in riferimento alla youngerERcard ed al progetto Giovani Protagonisti;</w:t>
      </w:r>
    </w:p>
    <w:p>
      <w:pPr>
        <w:pStyle w:val="ListParagraph"/>
        <w:widowControl w:val="false"/>
        <w:numPr>
          <w:ilvl w:val="0"/>
          <w:numId w:val="12"/>
        </w:numPr>
        <w:suppressAutoHyphens w:val="true"/>
        <w:spacing w:lineRule="auto" w:line="276" w:before="120" w:after="120"/>
        <w:ind w:left="1134" w:right="-82" w:hanging="360"/>
        <w:contextualSpacing/>
        <w:jc w:val="both"/>
        <w:textAlignment w:val="baseline"/>
        <w:rPr/>
      </w:pPr>
      <w:r>
        <w:rPr>
          <w:rFonts w:eastAsia="SimSun" w:cs="Courier New" w:ascii="Courier New" w:hAnsi="Courier New"/>
          <w:kern w:val="2"/>
          <w:sz w:val="24"/>
          <w:szCs w:val="24"/>
        </w:rPr>
        <w:t>confronto sulle strategie di comunicazione elaborate dai giovani coinvolti nei progetti di partecipazione anche a supporto della redazione di Giovazoom, più eventuali azioni che si rendessero necessarie in corso d’opera da concordare con la Regione.</w:t>
      </w:r>
    </w:p>
    <w:p>
      <w:pPr>
        <w:pStyle w:val="Normal"/>
        <w:widowControl w:val="false"/>
        <w:suppressAutoHyphens w:val="true"/>
        <w:spacing w:lineRule="auto" w:line="276" w:before="120" w:after="120"/>
        <w:ind w:left="709"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w:t>
      </w:r>
      <w:r>
        <w:rPr>
          <w:rFonts w:eastAsia="SimSun" w:cs="Courier New" w:ascii="Courier New" w:hAnsi="Courier New"/>
          <w:b/>
          <w:bCs/>
          <w:kern w:val="2"/>
          <w:sz w:val="24"/>
          <w:szCs w:val="24"/>
        </w:rPr>
        <w:t>Creative job: condividere buone prassi per sostenere giovani artisti</w:t>
      </w:r>
      <w:r>
        <w:rPr>
          <w:rFonts w:eastAsia="SimSun" w:cs="Courier New" w:ascii="Courier New" w:hAnsi="Courier New"/>
          <w:kern w:val="2"/>
          <w:sz w:val="24"/>
          <w:szCs w:val="24"/>
        </w:rPr>
        <w:t>” nell’ambito dell’intervento “Attività di orientamento multilivello e disseminazione: creatività giovanile e luoghi di aggregazione anche per il contrasto alle nuove dipendenze giovanili”:</w:t>
      </w:r>
    </w:p>
    <w:p>
      <w:pPr>
        <w:pStyle w:val="Normal"/>
        <w:widowControl w:val="false"/>
        <w:tabs>
          <w:tab w:val="clear" w:pos="720"/>
          <w:tab w:val="left" w:pos="709" w:leader="none"/>
        </w:tabs>
        <w:suppressAutoHyphens w:val="true"/>
        <w:spacing w:lineRule="auto" w:line="276" w:before="120" w:after="120"/>
        <w:ind w:left="709"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Obiettivi: </w:t>
      </w:r>
    </w:p>
    <w:p>
      <w:pPr>
        <w:pStyle w:val="ListParagraph"/>
        <w:widowControl w:val="false"/>
        <w:numPr>
          <w:ilvl w:val="0"/>
          <w:numId w:val="10"/>
        </w:numPr>
        <w:tabs>
          <w:tab w:val="clear" w:pos="720"/>
          <w:tab w:val="left" w:pos="709" w:leader="none"/>
        </w:tabs>
        <w:suppressAutoHyphens w:val="true"/>
        <w:spacing w:lineRule="auto" w:line="276" w:before="120" w:after="120"/>
        <w:ind w:left="1080"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qualificare l’attività di operatori e youth worker impegnati in progetti e servizi che promuovano la creatività giovanile;</w:t>
      </w:r>
    </w:p>
    <w:p>
      <w:pPr>
        <w:pStyle w:val="ListParagraph"/>
        <w:widowControl w:val="false"/>
        <w:numPr>
          <w:ilvl w:val="0"/>
          <w:numId w:val="10"/>
        </w:numPr>
        <w:tabs>
          <w:tab w:val="clear" w:pos="720"/>
          <w:tab w:val="left" w:pos="709" w:leader="none"/>
        </w:tabs>
        <w:suppressAutoHyphens w:val="true"/>
        <w:spacing w:lineRule="auto" w:line="276" w:before="120" w:after="120"/>
        <w:ind w:left="1080"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qualificare, valorizzare e trasferire le competenze creative presenti sul territorio regionale per individuare azioni e strategie utili per la loro spendibilità nel mercato del lavoro;</w:t>
      </w:r>
    </w:p>
    <w:p>
      <w:pPr>
        <w:pStyle w:val="ListParagraph"/>
        <w:widowControl w:val="false"/>
        <w:numPr>
          <w:ilvl w:val="0"/>
          <w:numId w:val="10"/>
        </w:numPr>
        <w:tabs>
          <w:tab w:val="clear" w:pos="720"/>
          <w:tab w:val="left" w:pos="709" w:leader="none"/>
        </w:tabs>
        <w:suppressAutoHyphens w:val="true"/>
        <w:spacing w:lineRule="auto" w:line="276" w:before="120" w:after="120"/>
        <w:ind w:left="1080"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creare un punto di riferimento informativo, anche online, per i giovani creativi del territorio regionale, in integrazione e raccordo con quelli già esistenti a livello regionale, in particolare con il Centro Musica di Modena;</w:t>
      </w:r>
    </w:p>
    <w:p>
      <w:pPr>
        <w:pStyle w:val="ListParagraph"/>
        <w:widowControl w:val="false"/>
        <w:numPr>
          <w:ilvl w:val="0"/>
          <w:numId w:val="10"/>
        </w:numPr>
        <w:tabs>
          <w:tab w:val="clear" w:pos="720"/>
          <w:tab w:val="left" w:pos="709" w:leader="none"/>
        </w:tabs>
        <w:suppressAutoHyphens w:val="true"/>
        <w:spacing w:lineRule="auto" w:line="276" w:before="120" w:after="120"/>
        <w:ind w:left="1080"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mettere a valore il linguaggio video di Reggio Emilia in un confronto metodologico a più voci con analoghe esperienze regionali.</w:t>
      </w:r>
    </w:p>
    <w:p>
      <w:pPr>
        <w:pStyle w:val="Normal"/>
        <w:widowControl w:val="false"/>
        <w:suppressAutoHyphens w:val="true"/>
        <w:spacing w:lineRule="auto" w:line="276" w:before="120" w:after="120"/>
        <w:ind w:left="709"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Azioni: </w:t>
      </w:r>
    </w:p>
    <w:p>
      <w:pPr>
        <w:pStyle w:val="ListParagraph"/>
        <w:widowControl w:val="false"/>
        <w:numPr>
          <w:ilvl w:val="0"/>
          <w:numId w:val="14"/>
        </w:numPr>
        <w:suppressAutoHyphens w:val="true"/>
        <w:spacing w:lineRule="auto" w:line="276" w:before="120" w:after="120"/>
        <w:ind w:left="1134"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giornata laboratoriale regionale rivolta ad operatori e youthworker impegnati in spazi creativi per scambiare esperienze ed individuare buone prassi sul tema dei linguaggi espressivi;</w:t>
      </w:r>
    </w:p>
    <w:p>
      <w:pPr>
        <w:pStyle w:val="ListParagraph"/>
        <w:widowControl w:val="false"/>
        <w:numPr>
          <w:ilvl w:val="0"/>
          <w:numId w:val="14"/>
        </w:numPr>
        <w:suppressAutoHyphens w:val="true"/>
        <w:spacing w:lineRule="auto" w:line="276" w:before="120" w:after="120"/>
        <w:ind w:left="1134"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giornata laboratoriale regionale rivolta ad operatori, educatori e youthworker per scambiare esperienze ed individuare buone prassi sul tema del linguaggio video;</w:t>
      </w:r>
    </w:p>
    <w:p>
      <w:pPr>
        <w:pStyle w:val="ListParagraph"/>
        <w:widowControl w:val="false"/>
        <w:numPr>
          <w:ilvl w:val="0"/>
          <w:numId w:val="14"/>
        </w:numPr>
        <w:suppressAutoHyphens w:val="true"/>
        <w:spacing w:lineRule="auto" w:line="276" w:before="120" w:after="120"/>
        <w:ind w:left="1134"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momento formativo replicabile in due/tre territori regionali aperto a giovani creativi per fornire strumenti ed informazioni sulla costruzione di una professione a partire dal proprio linguaggio creativo, in stretto raccordo con il GA/ER, enti di ricerca ed associazioni che già collaborano con la Regione;</w:t>
      </w:r>
    </w:p>
    <w:p>
      <w:pPr>
        <w:pStyle w:val="ListParagraph"/>
        <w:widowControl w:val="false"/>
        <w:numPr>
          <w:ilvl w:val="0"/>
          <w:numId w:val="14"/>
        </w:numPr>
        <w:suppressAutoHyphens w:val="true"/>
        <w:spacing w:lineRule="auto" w:line="276" w:before="120" w:after="120"/>
        <w:ind w:left="1134" w:right="-82" w:hanging="360"/>
        <w:contextualSpacing/>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apertura di uno sportello a cadenza quindicinale per offrire ai giovani creativi un servizio di prima consulenza sul piano della trasformazione del proprio talento in professione;</w:t>
      </w:r>
    </w:p>
    <w:p>
      <w:pPr>
        <w:pStyle w:val="Normal"/>
        <w:numPr>
          <w:ilvl w:val="0"/>
          <w:numId w:val="10"/>
        </w:numPr>
        <w:suppressAutoHyphens w:val="true"/>
        <w:spacing w:lineRule="auto" w:line="240" w:before="120" w:after="120"/>
        <w:ind w:left="1080" w:right="-82" w:hanging="360"/>
        <w:jc w:val="both"/>
        <w:rPr>
          <w:rFonts w:ascii="Courier New" w:hAnsi="Courier New" w:eastAsia="SimSun" w:cs="Courier New"/>
          <w:kern w:val="2"/>
          <w:sz w:val="24"/>
          <w:szCs w:val="24"/>
        </w:rPr>
      </w:pPr>
      <w:r>
        <w:rPr>
          <w:rFonts w:eastAsia="SimSun" w:cs="Courier New" w:ascii="Courier New" w:hAnsi="Courier New"/>
          <w:kern w:val="2"/>
          <w:sz w:val="24"/>
          <w:szCs w:val="24"/>
        </w:rPr>
        <w:t>eventuali azioni che si rendessero necessarie in corso d’opera da concordare con la Regione.</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 xml:space="preserve">ART. 2 </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b/>
          <w:kern w:val="2"/>
          <w:sz w:val="24"/>
          <w:szCs w:val="24"/>
        </w:rPr>
        <w:t xml:space="preserve">Durata </w:t>
      </w:r>
    </w:p>
    <w:p>
      <w:pPr>
        <w:pStyle w:val="Normal"/>
        <w:widowControl w:val="false"/>
        <w:spacing w:lineRule="auto" w:line="240"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La presente convenzione e le relative attività hanno durata fino al 30/12/2021 dalla sottoscrizione della stessa, fatto salvo quanto indicato al successivo art. 7.</w:t>
      </w:r>
    </w:p>
    <w:p>
      <w:pPr>
        <w:pStyle w:val="Normal"/>
        <w:widowControl w:val="false"/>
        <w:spacing w:lineRule="auto" w:line="240"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La presente convenzione s'intenderà sottoscritta alla data di apposizione della firma digitale da parte della Regione, quale ultimo firmatario e di repertoriazione della stessa alla quale si procederà nella medesima data.</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bCs/>
          <w:kern w:val="2"/>
          <w:sz w:val="24"/>
          <w:szCs w:val="24"/>
        </w:rPr>
      </w:pPr>
      <w:r>
        <w:rPr>
          <w:rFonts w:eastAsia="SimSun" w:cs="Courier New" w:ascii="Courier New" w:hAnsi="Courier New"/>
          <w:b/>
          <w:kern w:val="2"/>
          <w:sz w:val="24"/>
          <w:szCs w:val="24"/>
        </w:rPr>
        <w:t xml:space="preserve">ART. 3 </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b/>
          <w:bCs/>
          <w:kern w:val="2"/>
          <w:sz w:val="24"/>
          <w:szCs w:val="24"/>
        </w:rPr>
        <w:t>Costo dell'intervento e copertura finanziaria</w:t>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Gli interventi di cui all’articolo 1 prevedono un costo complessivo di € 75.000,00 a carico del Fondo nazionale per le politiche giovanili, così suddivisi: quanto ad € 40.000,00 per il progetto “</w:t>
      </w:r>
      <w:r>
        <w:rPr>
          <w:rFonts w:eastAsia="SimSun" w:cs="Courier New" w:ascii="Courier New" w:hAnsi="Courier New"/>
          <w:b/>
          <w:bCs/>
          <w:kern w:val="2"/>
          <w:sz w:val="24"/>
          <w:szCs w:val="24"/>
        </w:rPr>
        <w:t>Scuola, città e regione come laboratori di partecipazione</w:t>
      </w:r>
      <w:r>
        <w:rPr>
          <w:rFonts w:eastAsia="SimSun" w:cs="Courier New" w:ascii="Courier New" w:hAnsi="Courier New"/>
          <w:kern w:val="2"/>
          <w:sz w:val="24"/>
          <w:szCs w:val="24"/>
        </w:rPr>
        <w:t>” nell’ambito dell’intervento “La partecipazione inclusiva dei giovani alla vita sociale e politica dei territori”, quanto ad € 35.000,00 “</w:t>
      </w:r>
      <w:r>
        <w:rPr>
          <w:rFonts w:eastAsia="SimSun" w:cs="Courier New" w:ascii="Courier New" w:hAnsi="Courier New"/>
          <w:b/>
          <w:bCs/>
          <w:kern w:val="2"/>
          <w:sz w:val="24"/>
          <w:szCs w:val="24"/>
        </w:rPr>
        <w:t>Creative job: condividere buone prassi per sostenere giovani artisti</w:t>
      </w:r>
      <w:r>
        <w:rPr>
          <w:rFonts w:eastAsia="SimSun" w:cs="Courier New" w:ascii="Courier New" w:hAnsi="Courier New"/>
          <w:kern w:val="2"/>
          <w:sz w:val="24"/>
          <w:szCs w:val="24"/>
        </w:rPr>
        <w:t>” nell’ambito dell’intervento “Attività di orientamento multilivello e disseminazione: creatività giovanile e luoghi di aggregazione anche per il contrasto alle nuove dipendenze giovanili”.</w:t>
      </w:r>
    </w:p>
    <w:p>
      <w:pPr>
        <w:pStyle w:val="Normal"/>
        <w:widowControl w:val="false"/>
        <w:spacing w:lineRule="auto" w:line="240" w:before="120" w:after="120"/>
        <w:ind w:right="-82" w:hanging="0"/>
        <w:jc w:val="both"/>
        <w:textAlignment w:val="baseline"/>
        <w:rPr>
          <w:rFonts w:ascii="Courier New" w:hAnsi="Courier New" w:eastAsia="SimSun" w:cs="Courier New"/>
          <w:b/>
          <w:b/>
          <w:bCs/>
          <w:kern w:val="2"/>
          <w:sz w:val="24"/>
          <w:szCs w:val="24"/>
        </w:rPr>
      </w:pPr>
      <w:r>
        <w:rPr>
          <w:rFonts w:eastAsia="SimSun" w:cs="Courier New" w:ascii="Courier New" w:hAnsi="Courier New"/>
          <w:b/>
          <w:bCs/>
          <w:kern w:val="2"/>
          <w:sz w:val="24"/>
          <w:szCs w:val="24"/>
        </w:rPr>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bCs/>
          <w:kern w:val="2"/>
          <w:sz w:val="24"/>
          <w:szCs w:val="24"/>
        </w:rPr>
      </w:pPr>
      <w:r>
        <w:rPr>
          <w:rFonts w:eastAsia="SimSun" w:cs="Courier New" w:ascii="Courier New" w:hAnsi="Courier New"/>
          <w:b/>
          <w:bCs/>
          <w:kern w:val="2"/>
          <w:sz w:val="24"/>
          <w:szCs w:val="24"/>
        </w:rPr>
        <w:t xml:space="preserve">ART. 4 </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b/>
          <w:bCs/>
          <w:kern w:val="2"/>
          <w:sz w:val="24"/>
          <w:szCs w:val="24"/>
        </w:rPr>
        <w:t>Impegni del Comune di Reggio Emilia</w:t>
      </w:r>
    </w:p>
    <w:p>
      <w:pPr>
        <w:pStyle w:val="Normal"/>
        <w:widowControl w:val="false"/>
        <w:suppressAutoHyphens w:val="true"/>
        <w:spacing w:lineRule="auto" w:line="240"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Ai fini dell’attuazione degli interventi di cui all’art. 1 il Comune di Reggio Emilia si impegna a:</w:t>
      </w:r>
    </w:p>
    <w:p>
      <w:pPr>
        <w:pStyle w:val="Normal"/>
        <w:widowControl w:val="false"/>
        <w:numPr>
          <w:ilvl w:val="0"/>
          <w:numId w:val="2"/>
        </w:numPr>
        <w:suppressAutoHyphens w:val="true"/>
        <w:spacing w:lineRule="auto" w:line="240" w:before="120" w:after="120"/>
        <w:ind w:left="644" w:right="-82" w:hanging="36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realizzare le attività ossia le azioni previste dagli interventi di cui all’articolo 1;</w:t>
      </w:r>
    </w:p>
    <w:p>
      <w:pPr>
        <w:pStyle w:val="Normal"/>
        <w:widowControl w:val="false"/>
        <w:numPr>
          <w:ilvl w:val="0"/>
          <w:numId w:val="2"/>
        </w:numPr>
        <w:suppressAutoHyphens w:val="true"/>
        <w:spacing w:lineRule="auto" w:line="240" w:before="120" w:after="120"/>
        <w:ind w:left="644" w:right="-82" w:hanging="36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compilare, con cadenza semestrale l’apposita “Scheda di monitoraggio” Allegato A della presente convenzione, a decorrere dalla sottoscrizione della presente convenzione, da inviare all’indirizzo PEC: </w:t>
      </w:r>
      <w:r>
        <w:rPr>
          <w:rFonts w:eastAsia="SimSun" w:cs="Courier New" w:ascii="Courier New" w:hAnsi="Courier New"/>
          <w:color w:val="4472C4" w:themeColor="accent1"/>
          <w:kern w:val="2"/>
          <w:sz w:val="24"/>
          <w:szCs w:val="24"/>
        </w:rPr>
        <w:t xml:space="preserve">servcult@postacert.regione.emilia-romagna.it </w:t>
      </w:r>
      <w:r>
        <w:rPr>
          <w:rFonts w:eastAsia="SimSun" w:cs="Courier New" w:ascii="Courier New" w:hAnsi="Courier New"/>
          <w:kern w:val="2"/>
          <w:sz w:val="24"/>
          <w:szCs w:val="24"/>
        </w:rPr>
        <w:t xml:space="preserve">al fine di consentire alla Regione il monitoraggio dello stato di realizzazione degli interventi previsti dalla presente Convenzione, in coerenza agli adempimenti previsti nell'Accordo di collaborazione sopracitato; </w:t>
      </w:r>
    </w:p>
    <w:p>
      <w:pPr>
        <w:pStyle w:val="Normal"/>
        <w:widowControl w:val="false"/>
        <w:numPr>
          <w:ilvl w:val="0"/>
          <w:numId w:val="2"/>
        </w:numPr>
        <w:suppressAutoHyphens w:val="true"/>
        <w:spacing w:lineRule="auto" w:line="240" w:before="120" w:after="120"/>
        <w:ind w:left="644" w:right="-82" w:hanging="36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comunicare tempestivamente alla Regione informazioni dettagliate circa eventuali ritardi nello svolgimento delle attività previste, ossia azioni svolte, fatti che ne pregiudichino lo svolgimento o ne comportino un’attuazione parziale, nonché fatti che possano comportare la riduzione del cofinanziamento delle attività a carico del medesimo soggetto; </w:t>
      </w:r>
    </w:p>
    <w:p>
      <w:pPr>
        <w:pStyle w:val="Normal"/>
        <w:widowControl w:val="false"/>
        <w:numPr>
          <w:ilvl w:val="0"/>
          <w:numId w:val="2"/>
        </w:numPr>
        <w:suppressAutoHyphens w:val="true"/>
        <w:spacing w:lineRule="auto" w:line="240" w:before="120" w:after="0"/>
        <w:ind w:left="644" w:right="-82" w:hanging="36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evidenziare in ogni strumento di promozione e di informazione che l’attività oggetto della presente convenzione rientra negli interventi previsti dall’Accordo GECO 9 ed è realizzata con il contributo della Presidenza del Consiglio dei Ministri con delega in materia di pari opportunità e politiche giovanili e servizio civile universale e della Regione Emilia-Romagna – Assessorato al contrasto alle diseguaglianze e transizione ecologica: Patto per il clima, welfare, politiche abitative, politiche giovanili, cooperazione internazionale allo sviluppo, relazioni internazionali, rapporti con l’UE;</w:t>
      </w:r>
    </w:p>
    <w:p>
      <w:pPr>
        <w:pStyle w:val="Normal"/>
        <w:widowControl w:val="false"/>
        <w:numPr>
          <w:ilvl w:val="0"/>
          <w:numId w:val="2"/>
        </w:numPr>
        <w:suppressAutoHyphens w:val="true"/>
        <w:spacing w:lineRule="auto" w:line="240" w:before="0" w:after="20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garantire, ai sensi della Comunicazione della Commissione europea 2016/C262/01, paragrafo 34, che la realizzazione delle attività oggetto del presente finanziamento siano svolte con finalità esclusivamente sociali e culturali che non rivestano carattere economico e non costituiscano Aiuto di Stato.</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 xml:space="preserve">ART. 5 </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b/>
          <w:kern w:val="2"/>
          <w:sz w:val="24"/>
          <w:szCs w:val="24"/>
        </w:rPr>
        <w:t>Impegni della Regione</w:t>
      </w:r>
    </w:p>
    <w:p>
      <w:pPr>
        <w:pStyle w:val="Normal"/>
        <w:widowControl w:val="false"/>
        <w:spacing w:lineRule="auto" w:line="240"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La Regione si impegna a concorrere all'attuazione in collaborazione del progetto di cui all’art. 1) attraverso:</w:t>
      </w:r>
    </w:p>
    <w:p>
      <w:pPr>
        <w:pStyle w:val="Normal"/>
        <w:widowControl w:val="false"/>
        <w:numPr>
          <w:ilvl w:val="0"/>
          <w:numId w:val="1"/>
        </w:numPr>
        <w:suppressAutoHyphens w:val="true"/>
        <w:spacing w:lineRule="auto" w:line="240" w:before="120" w:after="120"/>
        <w:ind w:left="360" w:right="-82" w:hanging="36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la collaborazione dei propri uffici per favorire l’efficacia delle attività previste;</w:t>
      </w:r>
    </w:p>
    <w:p>
      <w:pPr>
        <w:pStyle w:val="Normal"/>
        <w:widowControl w:val="false"/>
        <w:numPr>
          <w:ilvl w:val="0"/>
          <w:numId w:val="1"/>
        </w:numPr>
        <w:suppressAutoHyphens w:val="true"/>
        <w:spacing w:lineRule="auto" w:line="240" w:before="120" w:after="120"/>
        <w:ind w:left="360" w:right="-82" w:hanging="360"/>
        <w:jc w:val="both"/>
        <w:textAlignment w:val="baseline"/>
        <w:rPr>
          <w:rFonts w:ascii="Courier New" w:hAnsi="Courier New" w:eastAsia="SimSun" w:cs="Courier New"/>
          <w:b/>
          <w:b/>
          <w:bCs/>
          <w:kern w:val="2"/>
          <w:sz w:val="24"/>
          <w:szCs w:val="24"/>
        </w:rPr>
      </w:pPr>
      <w:r>
        <w:rPr>
          <w:rFonts w:eastAsia="SimSun" w:cs="Courier New" w:ascii="Courier New" w:hAnsi="Courier New"/>
          <w:kern w:val="2"/>
          <w:sz w:val="24"/>
          <w:szCs w:val="24"/>
        </w:rPr>
        <w:t>la concessione dei contributi per l’importo indicato all’art. 3.</w:t>
      </w:r>
    </w:p>
    <w:p>
      <w:pPr>
        <w:pStyle w:val="Normal"/>
        <w:spacing w:before="120" w:after="120"/>
        <w:ind w:left="360" w:right="-82" w:hanging="0"/>
        <w:jc w:val="both"/>
        <w:rPr>
          <w:rFonts w:ascii="Courier New" w:hAnsi="Courier New" w:eastAsia="SimSun" w:cs="Courier New"/>
          <w:b/>
          <w:b/>
          <w:kern w:val="2"/>
          <w:sz w:val="24"/>
          <w:szCs w:val="24"/>
        </w:rPr>
      </w:pPr>
      <w:r>
        <w:rPr>
          <w:rFonts w:eastAsia="SimSun" w:cs="Courier New" w:ascii="Courier New" w:hAnsi="Courier New"/>
          <w:b/>
          <w:kern w:val="2"/>
          <w:sz w:val="24"/>
          <w:szCs w:val="24"/>
        </w:rPr>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 xml:space="preserve">ART. 6 </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b/>
          <w:kern w:val="2"/>
          <w:sz w:val="24"/>
          <w:szCs w:val="24"/>
        </w:rPr>
        <w:t>Modalità di liquidazione</w:t>
      </w:r>
      <w:r>
        <w:rPr>
          <w:rFonts w:eastAsia="SimSun" w:cs="Courier New" w:ascii="Courier New" w:hAnsi="Courier New"/>
          <w:b/>
          <w:bCs/>
          <w:kern w:val="2"/>
          <w:sz w:val="24"/>
          <w:szCs w:val="24"/>
        </w:rPr>
        <w:t xml:space="preserve"> dei contributi a valere sul Fondo nazionale politiche giovanili</w:t>
      </w:r>
    </w:p>
    <w:p>
      <w:pPr>
        <w:pStyle w:val="Normal"/>
        <w:widowControl w:val="false"/>
        <w:spacing w:lineRule="auto" w:line="240"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I contributi verranno liquidati ed erogati a presentazione, da parte del Soggetto attuatore dell’intervento, della documentazione e nei tempi di seguito indicate:</w:t>
      </w:r>
    </w:p>
    <w:p>
      <w:pPr>
        <w:pStyle w:val="Normal"/>
        <w:widowControl w:val="false"/>
        <w:numPr>
          <w:ilvl w:val="1"/>
          <w:numId w:val="4"/>
        </w:numPr>
        <w:suppressAutoHyphens w:val="true"/>
        <w:spacing w:lineRule="atLeast" w:line="100" w:before="100" w:after="119"/>
        <w:jc w:val="both"/>
        <w:textAlignment w:val="baseline"/>
        <w:rPr>
          <w:rFonts w:ascii="Courier New" w:hAnsi="Courier New" w:eastAsia="Courier New" w:cs="Courier New"/>
          <w:kern w:val="2"/>
          <w:sz w:val="24"/>
          <w:szCs w:val="24"/>
        </w:rPr>
      </w:pPr>
      <w:r>
        <w:rPr>
          <w:rFonts w:eastAsia="SimSun" w:cs="Courier New" w:ascii="Courier New" w:hAnsi="Courier New"/>
          <w:kern w:val="2"/>
          <w:sz w:val="24"/>
          <w:szCs w:val="24"/>
          <w:lang w:eastAsia="it-IT"/>
        </w:rPr>
        <w:t>una prima tranche, fino al 30% del contributo in relazione ad un primo stato di avanzamento delle attività realizzate, supportato da apposita relazione e attestazione delle spese sostenute;</w:t>
      </w:r>
    </w:p>
    <w:p>
      <w:pPr>
        <w:pStyle w:val="Normal"/>
        <w:widowControl w:val="false"/>
        <w:numPr>
          <w:ilvl w:val="1"/>
          <w:numId w:val="4"/>
        </w:numPr>
        <w:suppressAutoHyphens w:val="true"/>
        <w:spacing w:lineRule="atLeast" w:line="100" w:before="100" w:after="119"/>
        <w:jc w:val="both"/>
        <w:textAlignment w:val="baseline"/>
        <w:rPr>
          <w:rFonts w:ascii="Calibri" w:hAnsi="Calibri" w:eastAsia="SimSun" w:cs="Tahoma"/>
          <w:kern w:val="2"/>
          <w:sz w:val="24"/>
          <w:szCs w:val="24"/>
        </w:rPr>
      </w:pPr>
      <w:r>
        <w:rPr>
          <w:rFonts w:eastAsia="SimSun" w:cs="Courier New" w:ascii="Courier New" w:hAnsi="Courier New"/>
          <w:kern w:val="2"/>
          <w:sz w:val="24"/>
          <w:szCs w:val="24"/>
          <w:lang w:eastAsia="it-IT"/>
        </w:rPr>
        <w:t xml:space="preserve">il saldo a conclusione dell’attività e dietro presentazione dell’apposita documentazione di rendicontazione finale, a fronte della presentazione da parte del soggetto attuatore di una relazione consuntiva sulle attività svolte, corredata dalla relativa rendicontazione finanziaria delle spese a consuntivo relative alle attività da realizzarsi, fermo restando quanto indicato al successivo art.7. </w:t>
      </w:r>
      <w:r>
        <w:rPr>
          <w:rFonts w:eastAsia="SimSun" w:cs="Courier New" w:ascii="Courier New" w:hAnsi="Courier New"/>
          <w:kern w:val="2"/>
          <w:sz w:val="24"/>
          <w:szCs w:val="24"/>
        </w:rPr>
        <w:t>La documentazione contabile dovrà contenere l’indicazione del luogo di conservazione, il tutto debitamente firmato dal Responsabile del Procedimento o dal Legale Rappresentante dell’Ente.</w:t>
      </w:r>
    </w:p>
    <w:p>
      <w:pPr>
        <w:pStyle w:val="Normal"/>
        <w:widowControl w:val="false"/>
        <w:suppressAutoHyphens w:val="true"/>
        <w:spacing w:lineRule="auto" w:line="276" w:before="0" w:after="200"/>
        <w:jc w:val="center"/>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ART. 7</w:t>
      </w:r>
    </w:p>
    <w:p>
      <w:pPr>
        <w:pStyle w:val="Normal"/>
        <w:widowControl w:val="false"/>
        <w:suppressAutoHyphens w:val="true"/>
        <w:spacing w:lineRule="auto" w:line="276" w:before="0" w:after="200"/>
        <w:jc w:val="center"/>
        <w:textAlignment w:val="baseline"/>
        <w:rPr>
          <w:rFonts w:ascii="Courier New" w:hAnsi="Courier New" w:eastAsia="SimSun" w:cs="Courier New"/>
          <w:kern w:val="2"/>
          <w:sz w:val="24"/>
          <w:szCs w:val="24"/>
        </w:rPr>
      </w:pPr>
      <w:r>
        <w:rPr>
          <w:rFonts w:eastAsia="SimSun" w:cs="Courier New" w:ascii="Courier New" w:hAnsi="Courier New"/>
          <w:b/>
          <w:kern w:val="2"/>
          <w:sz w:val="24"/>
          <w:szCs w:val="24"/>
        </w:rPr>
        <w:t>Te</w:t>
      </w:r>
      <w:r>
        <w:rPr>
          <w:rFonts w:eastAsia="SimSun" w:cs="Courier New" w:ascii="Courier New" w:hAnsi="Courier New"/>
          <w:b/>
          <w:bCs/>
          <w:kern w:val="2"/>
          <w:sz w:val="24"/>
          <w:szCs w:val="24"/>
        </w:rPr>
        <w:t>rmine delle azioni e proroghe</w:t>
      </w:r>
    </w:p>
    <w:p>
      <w:pPr>
        <w:pStyle w:val="Normal"/>
        <w:widowControl w:val="false"/>
        <w:suppressAutoHyphens w:val="true"/>
        <w:spacing w:lineRule="auto" w:line="240" w:before="0" w:after="20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Le azioni svolte dovranno essere completate entro il 31/12/2021, salvo motivate ragioni, da documentarsi adeguatamente, sulla base delle quali il Comune di Reggio Emilia potrà richiedere una proroga da concedersi con apposito atto del Dirigente regionale competente per materia prima della scadenza della presente convenzione. In caso di proroga si provvederà alla rivisitazione delle scritture contabili ai fini della corretta registrazione dell’impegno di spesa assunto, in linea con i principi previsti dal D.Lgs. n. 118/2011 e ss.mm.ii.</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ART. 8</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b/>
          <w:kern w:val="2"/>
          <w:sz w:val="24"/>
          <w:szCs w:val="24"/>
        </w:rPr>
        <w:t>Verifiche amministrativo-c</w:t>
      </w:r>
      <w:r>
        <w:rPr>
          <w:rFonts w:eastAsia="SimSun" w:cs="Courier New" w:ascii="Courier New" w:hAnsi="Courier New"/>
          <w:b/>
          <w:bCs/>
          <w:kern w:val="2"/>
          <w:sz w:val="24"/>
          <w:szCs w:val="24"/>
        </w:rPr>
        <w:t>ontabili sull'attuazione del progetto</w:t>
      </w:r>
    </w:p>
    <w:p>
      <w:pPr>
        <w:pStyle w:val="Normal"/>
        <w:widowControl w:val="false"/>
        <w:suppressAutoHyphens w:val="true"/>
        <w:spacing w:lineRule="auto" w:line="240" w:before="0" w:after="20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La Regione può procedere a verifiche amministrativo-contabili concernenti la realizzazione ed i risultati dell’intervento oggetto della presente convenzione in particolare attraverso:</w:t>
      </w:r>
    </w:p>
    <w:p>
      <w:pPr>
        <w:pStyle w:val="Normal"/>
        <w:widowControl w:val="false"/>
        <w:suppressAutoHyphens w:val="true"/>
        <w:spacing w:lineRule="auto" w:line="240" w:before="0" w:after="200"/>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incontri periodici di verifica;</w:t>
      </w:r>
    </w:p>
    <w:p>
      <w:pPr>
        <w:pStyle w:val="Normal"/>
        <w:widowControl w:val="false"/>
        <w:suppressAutoHyphens w:val="true"/>
        <w:spacing w:lineRule="auto" w:line="240" w:before="0" w:after="200"/>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relazioni periodiche sullo stato di avanzamento dell’intervento;</w:t>
      </w:r>
    </w:p>
    <w:p>
      <w:pPr>
        <w:pStyle w:val="Normal"/>
        <w:widowControl w:val="false"/>
        <w:suppressAutoHyphens w:val="true"/>
        <w:spacing w:lineRule="auto" w:line="240" w:before="0" w:after="200"/>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richieste di atti e delle necessarie documentazioni.</w:t>
      </w:r>
    </w:p>
    <w:p>
      <w:pPr>
        <w:pStyle w:val="Normal"/>
        <w:widowControl w:val="false"/>
        <w:suppressAutoHyphens w:val="true"/>
        <w:spacing w:lineRule="auto" w:line="240" w:before="0" w:after="20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Nel corso della realizzazione delle azioni oggetto della convenzione la Regione può definire inoltre le forme e le modalità per riorientare le azioni previste al fine del raggiungimento dei risultati. </w:t>
      </w:r>
    </w:p>
    <w:p>
      <w:pPr>
        <w:pStyle w:val="Normal"/>
        <w:widowControl w:val="false"/>
        <w:suppressAutoHyphens w:val="true"/>
        <w:spacing w:lineRule="auto" w:line="276" w:before="0" w:after="120"/>
        <w:ind w:right="-82" w:hanging="0"/>
        <w:jc w:val="center"/>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Art. 9 bis</w:t>
      </w:r>
    </w:p>
    <w:p>
      <w:pPr>
        <w:pStyle w:val="Normal"/>
        <w:widowControl w:val="false"/>
        <w:suppressAutoHyphens w:val="true"/>
        <w:spacing w:lineRule="auto" w:line="276" w:before="0" w:after="120"/>
        <w:ind w:right="-82" w:hanging="0"/>
        <w:jc w:val="center"/>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Sicurezza e riservatezza</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L’Ente ha l’obbligo di mantenere riservati i dati e le informazioni, ivi comprese quelle che transitano per le apparecchiature di elaborazione dati, di cui venga in possesso e comunque a conoscenza, anche tramite l'esecuzione della Convenzione, di non divulgarli in alcun modo e in qualsiasi forma, di non farne oggetto di utilizzazione a qualsiasi titolo per scopi diversi da quelli strettamente necessari all’esecuzione della Convenzione e di non farne oggetto di comunicazione o trasmissione senza l'espressa autorizzazione dell'Amministrazione regionale</w:t>
      </w:r>
      <w:r>
        <w:rPr>
          <w:rFonts w:eastAsia="SimSun" w:cs="Tahoma" w:ascii="Courier New" w:hAnsi="Courier New"/>
          <w:color w:val="FF0000"/>
          <w:kern w:val="2"/>
          <w:sz w:val="24"/>
          <w:szCs w:val="24"/>
        </w:rPr>
        <w:t>.</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L’obbligo di cui al precedente comma sussiste, altresì, relativamente a tutto il materiale originario o predisposto in esecuzione della Convenzione</w:t>
      </w:r>
      <w:r>
        <w:rPr>
          <w:rFonts w:eastAsia="SimSun" w:cs="Tahoma" w:ascii="Courier New" w:hAnsi="Courier New"/>
          <w:color w:val="FF0000"/>
          <w:kern w:val="2"/>
          <w:sz w:val="24"/>
          <w:szCs w:val="24"/>
        </w:rPr>
        <w:t>.</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L’obbligo di cui ai commi 1 e 2 non concerne i dati che siano o divengano di pubblico dominio.</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L’Ente è responsabile per l’esatta osservanza da parte dei propri dipendenti, consulenti e collaboratori, nonché di subappaltatori e dei dipendenti, consulenti e collaboratori di questi ultimi, degli obblighi di segretezza di cui ai punti 1, 2 e 3 e risponde nei confronti dell’Amministrazione regionale per eventuali violazioni dell’obbligo di riservatezza commesse dai suddetti soggetti.</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L’Ente può utilizzare servizi di cloud pubblici ove memorizzare i dati e le informazioni trattate nell'espletamento dell'incarico affidato, solo previa autorizzazione dell’Amministrazione regionale.</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In caso di inosservanza degli obblighi descritti nei punti da 1 a 5, l’Amministrazione regionale ha facoltà di dichiarare risolta di diritto la Convenzione, fermo restando che L’Ente sarà tenuto a risarcire tutti i danni che ne dovessero derivare.</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L’Ente potrà citare i termini essenziali della Convenzione nei casi in cui fosse condizione necessaria per la propria partecipazione a gare e appalti, previa comunicazione alla Amministrazione regionale delle modalità e dei contenuti di detta citazione.</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Sarà possibile ogni operazione di auditing da parte della Amministrazione regionale attinente alle procedure adottate dal Contraente in materia di riservatezza e degli altri obblighi assunti dalla presente Convenzione.</w:t>
      </w:r>
    </w:p>
    <w:p>
      <w:pPr>
        <w:pStyle w:val="Normal"/>
        <w:widowControl w:val="false"/>
        <w:numPr>
          <w:ilvl w:val="0"/>
          <w:numId w:val="7"/>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L’Ente non potrà conservare copia di dati e programmi della Amministrazione regionale, né alcuna documentazione inerente ad essi dopo la scadenza della Convenzione e dovrà, su richiesta, ritrasmetterli all'Amministrazione regionale.</w:t>
      </w:r>
    </w:p>
    <w:p>
      <w:pPr>
        <w:pStyle w:val="Normal"/>
        <w:widowControl w:val="false"/>
        <w:suppressAutoHyphens w:val="true"/>
        <w:spacing w:lineRule="auto" w:line="276" w:before="0" w:after="120"/>
        <w:ind w:right="-82" w:hanging="0"/>
        <w:jc w:val="center"/>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Art. 9 ter</w:t>
      </w:r>
    </w:p>
    <w:p>
      <w:pPr>
        <w:pStyle w:val="Normal"/>
        <w:widowControl w:val="false"/>
        <w:suppressAutoHyphens w:val="true"/>
        <w:spacing w:lineRule="auto" w:line="276" w:before="0" w:after="120"/>
        <w:ind w:right="-82" w:hanging="0"/>
        <w:jc w:val="center"/>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Designazione quale responsabile del trattamento dei dati personali ai sensi del Regolamento U.E. 679/2016</w:t>
      </w:r>
    </w:p>
    <w:p>
      <w:pPr>
        <w:pStyle w:val="Normal"/>
        <w:widowControl w:val="false"/>
        <w:numPr>
          <w:ilvl w:val="0"/>
          <w:numId w:val="6"/>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In esecuzione della presente Convenzione, L’Ente effettua trattamento di dati personali di titolarità dell’Amministrazione regionale.</w:t>
      </w:r>
    </w:p>
    <w:p>
      <w:pPr>
        <w:pStyle w:val="Normal"/>
        <w:widowControl w:val="false"/>
        <w:numPr>
          <w:ilvl w:val="0"/>
          <w:numId w:val="6"/>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In virtù di tale trattamento, le Parti stipulano l’Accordo allegato al fine di disciplinare oneri e responsabilità in aderenza al Regolamento (UE) del Parlamento e del Consiglio europeo n. 2016/679 (di seguito, anche “GDPR”) e da ogni altra normativa applicabile.</w:t>
      </w:r>
    </w:p>
    <w:p>
      <w:pPr>
        <w:pStyle w:val="Normal"/>
        <w:widowControl w:val="false"/>
        <w:numPr>
          <w:ilvl w:val="0"/>
          <w:numId w:val="6"/>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L’Ente è, pertanto, designato dalla Giunta della Regione Emilia-Romagna quale Responsabile del trattamento dei dati personali ai sensi e per gli effetti dell’art. 28 del Regolamento, il quale si obbliga a dare esecuzione alla Convenzione suindicata conformemente a quanto previsto dall’Accordo allegato alla presente Convenzione.</w:t>
      </w:r>
    </w:p>
    <w:p>
      <w:pPr>
        <w:pStyle w:val="Normal"/>
        <w:widowControl w:val="false"/>
        <w:numPr>
          <w:ilvl w:val="0"/>
          <w:numId w:val="6"/>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Le Parti riconoscono e convengono che il rispetto delle istruzioni di cui all’Accordo allegato, nonché alle prescrizioni della normativa applicabile, non producono l’insorgere di un diritto in capo al Responsabile del trattamento al rimborso delle eventuali spese che lo stesso potrebbe dover sostenere per conformarsi.</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 xml:space="preserve">ART. 10 </w:t>
      </w:r>
    </w:p>
    <w:p>
      <w:pPr>
        <w:pStyle w:val="Normal"/>
        <w:widowControl w:val="false"/>
        <w:suppressAutoHyphens w:val="true"/>
        <w:spacing w:lineRule="auto" w:line="276" w:before="120" w:after="120"/>
        <w:ind w:right="-82" w:hanging="0"/>
        <w:jc w:val="center"/>
        <w:textAlignment w:val="baseline"/>
        <w:rPr>
          <w:rFonts w:ascii="Courier New" w:hAnsi="Courier New" w:eastAsia="SimSun" w:cs="Courier New"/>
          <w:kern w:val="2"/>
          <w:sz w:val="24"/>
          <w:szCs w:val="24"/>
        </w:rPr>
      </w:pPr>
      <w:r>
        <w:rPr>
          <w:rFonts w:eastAsia="SimSun" w:cs="Courier New" w:ascii="Courier New" w:hAnsi="Courier New"/>
          <w:b/>
          <w:kern w:val="2"/>
          <w:sz w:val="24"/>
          <w:szCs w:val="24"/>
        </w:rPr>
        <w:t>Registrazione</w:t>
      </w:r>
    </w:p>
    <w:p>
      <w:pPr>
        <w:pStyle w:val="Normal"/>
        <w:widowControl w:val="false"/>
        <w:suppressAutoHyphens w:val="true"/>
        <w:spacing w:lineRule="auto" w:line="240"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Il presente atto sarà registrato solo in caso d'uso ai sensi del D.P.R. 26 ottobre 1972, n. 634 e successive modifiche ed integrazioni, a cura e spese della parte richiedente.</w:t>
      </w:r>
    </w:p>
    <w:p>
      <w:pPr>
        <w:pStyle w:val="Normal"/>
        <w:widowControl w:val="false"/>
        <w:suppressAutoHyphens w:val="true"/>
        <w:spacing w:lineRule="auto" w:line="240"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Letto, confermato e sottoscritto digitalmente ai sensi dell’art. 15 comma 2 bis della Legge 241/90 e successive modifiche.</w:t>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Per la Regione Emilia-Romagna       </w:t>
        <w:tab/>
        <w:tab/>
        <w:tab/>
        <w:t xml:space="preserve">Per . . . . . . . . </w:t>
      </w:r>
    </w:p>
    <w:p>
      <w:pPr>
        <w:pStyle w:val="Normal"/>
        <w:widowControl w:val="false"/>
        <w:suppressAutoHyphens w:val="true"/>
        <w:spacing w:lineRule="auto" w:line="276" w:before="0" w:after="20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Il Dirigente regionale               Il Legale rappresentante</w:t>
      </w:r>
    </w:p>
    <w:p>
      <w:pPr>
        <w:sectPr>
          <w:headerReference w:type="default" r:id="rId2"/>
          <w:footerReference w:type="default" r:id="rId3"/>
          <w:type w:val="nextPage"/>
          <w:pgSz w:w="11906" w:h="16838"/>
          <w:pgMar w:left="1106" w:right="1106" w:header="142" w:top="542" w:footer="709" w:bottom="1134" w:gutter="0"/>
          <w:pgNumType w:fmt="decimal"/>
          <w:formProt w:val="false"/>
          <w:textDirection w:val="lrTb"/>
          <w:docGrid w:type="default" w:linePitch="600" w:charSpace="40960"/>
        </w:sectPr>
        <w:pStyle w:val="Normal"/>
        <w:widowControl w:val="false"/>
        <w:suppressAutoHyphens w:val="true"/>
        <w:spacing w:lineRule="auto" w:line="276" w:before="0" w:after="20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__________________________</w:t>
        <w:tab/>
        <w:tab/>
        <w:t>______________________________</w:t>
      </w:r>
    </w:p>
    <w:p>
      <w:pPr>
        <w:pStyle w:val="Normal"/>
        <w:widowControl w:val="false"/>
        <w:suppressAutoHyphens w:val="true"/>
        <w:spacing w:lineRule="auto" w:line="276" w:before="0" w:after="20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r>
    </w:p>
    <w:p>
      <w:pPr>
        <w:pStyle w:val="Normal"/>
        <w:widowControl w:val="false"/>
        <w:suppressAutoHyphens w:val="true"/>
        <w:spacing w:lineRule="atLeast" w:line="200" w:before="0" w:after="200"/>
        <w:textAlignment w:val="baseline"/>
        <w:rPr>
          <w:rFonts w:ascii="Courier New" w:hAnsi="Courier New" w:eastAsia="SimSun" w:cs="Courier New"/>
          <w:b/>
          <w:b/>
          <w:kern w:val="2"/>
          <w:sz w:val="24"/>
          <w:szCs w:val="24"/>
        </w:rPr>
      </w:pPr>
      <w:r>
        <w:rPr>
          <w:rFonts w:eastAsia="SimSun" w:cs="Courier New" w:ascii="Courier New" w:hAnsi="Courier New"/>
          <w:b/>
          <w:kern w:val="2"/>
          <w:sz w:val="24"/>
          <w:szCs w:val="24"/>
        </w:rPr>
        <w:t xml:space="preserve">ALLEGATO A </w:t>
      </w:r>
      <w:r>
        <w:rPr>
          <w:rFonts w:eastAsia="SimSun" w:cs="Courier New" w:ascii="Courier New" w:hAnsi="Courier New"/>
          <w:b/>
          <w:bCs/>
          <w:kern w:val="2"/>
          <w:sz w:val="24"/>
          <w:szCs w:val="24"/>
        </w:rPr>
        <w:t>Scheda di monitoraggio</w:t>
      </w:r>
      <w:r>
        <w:rPr>
          <w:rFonts w:eastAsia="SimSun" w:cs="Courier New" w:ascii="Courier New" w:hAnsi="Courier New"/>
          <w:b/>
          <w:kern w:val="2"/>
          <w:sz w:val="24"/>
          <w:szCs w:val="24"/>
        </w:rPr>
        <w:t xml:space="preserve"> allo schema di convenzione di cui all’Allegato 2)</w:t>
      </w:r>
    </w:p>
    <w:p>
      <w:pPr>
        <w:pStyle w:val="Normal"/>
        <w:keepNext w:val="true"/>
        <w:widowControl w:val="false"/>
        <w:numPr>
          <w:ilvl w:val="0"/>
          <w:numId w:val="0"/>
        </w:numPr>
        <w:tabs>
          <w:tab w:val="clear" w:pos="720"/>
          <w:tab w:val="left" w:pos="284" w:leader="none"/>
          <w:tab w:val="center" w:pos="7144" w:leader="none"/>
        </w:tabs>
        <w:spacing w:lineRule="auto" w:line="288" w:before="240" w:after="120"/>
        <w:ind w:left="284" w:hanging="284"/>
        <w:textAlignment w:val="baseline"/>
        <w:outlineLvl w:val="0"/>
        <w:rPr>
          <w:rFonts w:ascii="Courier New" w:hAnsi="Courier New" w:eastAsia="SimSun" w:cs="Courier New"/>
          <w:bCs/>
          <w:i/>
          <w:i/>
          <w:color w:val="000000"/>
          <w:kern w:val="2"/>
          <w:sz w:val="24"/>
          <w:szCs w:val="24"/>
          <w:lang w:eastAsia="it-IT"/>
        </w:rPr>
      </w:pPr>
      <w:r>
        <w:rPr>
          <w:rFonts w:eastAsia="SimSun" w:cs="Courier New" w:ascii="Courier New" w:hAnsi="Courier New"/>
          <w:bCs/>
          <w:caps/>
          <w:color w:val="000000"/>
          <w:kern w:val="2"/>
          <w:sz w:val="24"/>
          <w:szCs w:val="24"/>
          <w:lang w:eastAsia="it-IT"/>
        </w:rPr>
        <w:t>Stato di attuazione degli interventi alla data del (</w:t>
      </w:r>
      <w:r>
        <w:rPr>
          <w:rFonts w:eastAsia="SimSun" w:cs="Courier New" w:ascii="Courier New" w:hAnsi="Courier New"/>
          <w:bCs/>
          <w:color w:val="000000"/>
          <w:kern w:val="2"/>
          <w:sz w:val="24"/>
          <w:szCs w:val="24"/>
          <w:lang w:eastAsia="it-IT"/>
        </w:rPr>
        <w:t>gg.mm.aaaa</w:t>
      </w:r>
      <w:r>
        <w:rPr>
          <w:rFonts w:eastAsia="SimSun" w:cs="Courier New" w:ascii="Courier New" w:hAnsi="Courier New"/>
          <w:bCs/>
          <w:caps/>
          <w:color w:val="000000"/>
          <w:kern w:val="2"/>
          <w:sz w:val="24"/>
          <w:szCs w:val="24"/>
          <w:lang w:eastAsia="it-IT"/>
        </w:rPr>
        <w:t>)</w:t>
      </w:r>
      <w:r>
        <w:rPr>
          <w:rFonts w:eastAsia="SimSun" w:cs="Courier New" w:ascii="Courier New" w:hAnsi="Courier New"/>
          <w:bCs/>
          <w:i/>
          <w:color w:val="000000"/>
          <w:kern w:val="2"/>
          <w:sz w:val="24"/>
          <w:szCs w:val="24"/>
          <w:lang w:eastAsia="it-IT"/>
        </w:rPr>
        <w:t xml:space="preserve"> (inserire data della relazione)</w:t>
      </w:r>
    </w:p>
    <w:p>
      <w:pPr>
        <w:pStyle w:val="Normal"/>
        <w:widowControl w:val="false"/>
        <w:suppressAutoHyphens w:val="true"/>
        <w:spacing w:lineRule="auto" w:line="288" w:before="240" w:after="120"/>
        <w:ind w:left="284" w:hanging="284"/>
        <w:textAlignment w:val="baseline"/>
        <w:rPr>
          <w:rFonts w:ascii="Courier New" w:hAnsi="Courier New" w:eastAsia="SimSun" w:cs="Courier New"/>
          <w:i/>
          <w:i/>
          <w:iCs/>
          <w:color w:val="000000" w:themeColor="text1"/>
          <w:kern w:val="2"/>
          <w:sz w:val="24"/>
          <w:szCs w:val="24"/>
          <w:lang w:eastAsia="it-IT"/>
        </w:rPr>
      </w:pPr>
      <w:r>
        <w:rPr>
          <w:rFonts w:eastAsia="SimSun" w:cs="Courier New" w:ascii="Courier New" w:hAnsi="Courier New"/>
          <w:caps/>
          <w:color w:val="000000" w:themeColor="text1"/>
          <w:kern w:val="2"/>
          <w:sz w:val="24"/>
          <w:szCs w:val="24"/>
          <w:lang w:eastAsia="it-IT"/>
        </w:rPr>
        <w:t>note di approfondimento alla data del (</w:t>
      </w:r>
      <w:r>
        <w:rPr>
          <w:rFonts w:eastAsia="SimSun" w:cs="Courier New" w:ascii="Courier New" w:hAnsi="Courier New"/>
          <w:color w:val="000000" w:themeColor="text1"/>
          <w:kern w:val="2"/>
          <w:sz w:val="24"/>
          <w:szCs w:val="24"/>
          <w:lang w:eastAsia="it-IT"/>
        </w:rPr>
        <w:t>gg.mm.aaaa)</w:t>
      </w:r>
      <w:r>
        <w:rPr>
          <w:rFonts w:eastAsia="SimSun" w:cs="Courier New" w:ascii="Courier New" w:hAnsi="Courier New"/>
          <w:caps/>
          <w:color w:val="000000" w:themeColor="text1"/>
          <w:kern w:val="2"/>
          <w:sz w:val="24"/>
          <w:szCs w:val="24"/>
          <w:lang w:eastAsia="it-IT"/>
        </w:rPr>
        <w:t xml:space="preserve"> </w:t>
      </w:r>
      <w:r>
        <w:rPr>
          <w:rFonts w:eastAsia="SimSun" w:cs="Courier New" w:ascii="Courier New" w:hAnsi="Courier New"/>
          <w:i/>
          <w:iCs/>
          <w:color w:val="000000" w:themeColor="text1"/>
          <w:kern w:val="2"/>
          <w:sz w:val="24"/>
          <w:szCs w:val="24"/>
          <w:lang w:eastAsia="it-IT"/>
        </w:rPr>
        <w:t>(inserire data della relazione)</w:t>
      </w:r>
    </w:p>
    <w:p>
      <w:pPr>
        <w:pStyle w:val="Normal"/>
        <w:widowControl w:val="false"/>
        <w:spacing w:lineRule="auto" w:line="240" w:before="60" w:after="20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lang w:eastAsia="it-IT"/>
        </w:rPr>
        <w:t>La</w:t>
      </w:r>
      <w:r>
        <w:rPr>
          <w:rFonts w:eastAsia="SimSun" w:cs="Courier New" w:ascii="Courier New" w:hAnsi="Courier New"/>
          <w:kern w:val="2"/>
          <w:sz w:val="24"/>
          <w:szCs w:val="24"/>
        </w:rPr>
        <w:t xml:space="preserve"> presente tabella va compilata obbligatoriamente per fornire informazioni sintetiche sullo stato di avanzamento del progetto. Le informazioni sintetiche vanno evidenziate nel campo “Osservazioni”.</w:t>
      </w:r>
    </w:p>
    <w:p>
      <w:pPr>
        <w:pStyle w:val="Normal"/>
        <w:widowControl w:val="false"/>
        <w:spacing w:lineRule="auto" w:line="240" w:before="60" w:after="200"/>
        <w:jc w:val="both"/>
        <w:textAlignment w:val="baseline"/>
        <w:rPr>
          <w:rFonts w:ascii="Courier New" w:hAnsi="Courier New" w:eastAsia="SimSun" w:cs="Courier New"/>
          <w:i/>
          <w:i/>
          <w:iCs/>
          <w:kern w:val="2"/>
          <w:sz w:val="24"/>
          <w:szCs w:val="24"/>
          <w:lang w:eastAsia="it-IT"/>
        </w:rPr>
      </w:pPr>
      <w:r>
        <w:rPr>
          <w:rFonts w:eastAsia="SimSun" w:cs="Courier New" w:ascii="Courier New" w:hAnsi="Courier New"/>
          <w:kern w:val="2"/>
          <w:sz w:val="24"/>
          <w:szCs w:val="24"/>
          <w:lang w:eastAsia="it-IT"/>
        </w:rPr>
        <w:t xml:space="preserve">(*) Osservazioni sintetiche sugli interventi, inoltre, possono essere rappresentate anche in relazione ad eventuali criticità e agli scenari tendenziali </w:t>
      </w:r>
      <w:r>
        <w:rPr>
          <w:rFonts w:eastAsia="SimSun" w:cs="Courier New" w:ascii="Courier New" w:hAnsi="Courier New"/>
          <w:i/>
          <w:iCs/>
          <w:kern w:val="2"/>
          <w:sz w:val="24"/>
          <w:szCs w:val="24"/>
          <w:lang w:eastAsia="it-IT"/>
        </w:rPr>
        <w:t>(Inserire la descrizione delle eventuali criticità e osservazioni rispetto a quanto previsto nelle stime originarie o nel precedente rapporto, quali aumenti o diminuzioni di costo, modifiche del quadro finanziario, riprogrammazione economie, variazioni del cronoprogramma, avanzamento delle procedure di evidenza pubblica).</w:t>
      </w:r>
    </w:p>
    <w:p>
      <w:pPr>
        <w:pStyle w:val="Normal"/>
        <w:widowControl w:val="false"/>
        <w:spacing w:lineRule="auto" w:line="240" w:before="60" w:after="200"/>
        <w:jc w:val="both"/>
        <w:textAlignment w:val="baseline"/>
        <w:rPr>
          <w:rFonts w:ascii="Courier New" w:hAnsi="Courier New" w:eastAsia="SimSun" w:cs="Courier New"/>
          <w:i/>
          <w:i/>
          <w:iCs/>
          <w:kern w:val="2"/>
          <w:sz w:val="24"/>
          <w:szCs w:val="24"/>
          <w:lang w:eastAsia="it-IT"/>
        </w:rPr>
      </w:pPr>
      <w:r>
        <w:rPr>
          <w:rFonts w:eastAsia="SimSun" w:cs="Courier New" w:ascii="Courier New" w:hAnsi="Courier New"/>
          <w:kern w:val="2"/>
          <w:sz w:val="24"/>
          <w:szCs w:val="24"/>
          <w:lang w:eastAsia="it-IT"/>
        </w:rPr>
        <w:t>(**) dati necessari alla comprensione dell’avanzamento quali/quantitativo degli interventi</w:t>
      </w:r>
      <w:r>
        <w:rPr>
          <w:rFonts w:eastAsia="SimSun" w:cs="Courier New" w:ascii="Courier New" w:hAnsi="Courier New"/>
          <w:i/>
          <w:iCs/>
          <w:kern w:val="2"/>
          <w:sz w:val="24"/>
          <w:szCs w:val="24"/>
          <w:lang w:eastAsia="it-IT"/>
        </w:rPr>
        <w:t xml:space="preserve"> </w:t>
      </w:r>
    </w:p>
    <w:p>
      <w:pPr>
        <w:pStyle w:val="Normal"/>
        <w:widowControl w:val="false"/>
        <w:spacing w:lineRule="auto" w:line="240" w:before="60" w:after="200"/>
        <w:jc w:val="both"/>
        <w:textAlignment w:val="baseline"/>
        <w:rPr>
          <w:rFonts w:ascii="Courier New" w:hAnsi="Courier New" w:eastAsia="SimSun" w:cs="Courier New"/>
          <w:i/>
          <w:i/>
          <w:iCs/>
          <w:kern w:val="2"/>
          <w:sz w:val="24"/>
          <w:szCs w:val="24"/>
          <w:lang w:eastAsia="it-IT"/>
        </w:rPr>
      </w:pPr>
      <w:r>
        <w:rPr>
          <w:rFonts w:eastAsia="SimSun" w:cs="Courier New" w:ascii="Courier New" w:hAnsi="Courier New"/>
          <w:kern w:val="2"/>
          <w:sz w:val="24"/>
          <w:szCs w:val="24"/>
          <w:lang w:eastAsia="it-IT"/>
        </w:rPr>
        <w:t>Attività</w:t>
      </w:r>
      <w:r>
        <w:rPr>
          <w:rFonts w:eastAsia="SimSun" w:cs="Courier New" w:ascii="Courier New" w:hAnsi="Courier New"/>
          <w:i/>
          <w:iCs/>
          <w:kern w:val="2"/>
          <w:sz w:val="24"/>
          <w:szCs w:val="24"/>
          <w:lang w:eastAsia="it-IT"/>
        </w:rPr>
        <w:t xml:space="preserve">: riportare ciascun Centro o forma di aggregazione prevista dal progetto. </w:t>
      </w:r>
    </w:p>
    <w:p>
      <w:pPr>
        <w:pStyle w:val="Normal"/>
        <w:widowControl w:val="false"/>
        <w:spacing w:lineRule="auto" w:line="240" w:before="60" w:after="200"/>
        <w:jc w:val="both"/>
        <w:textAlignment w:val="baseline"/>
        <w:rPr>
          <w:rFonts w:ascii="Courier New" w:hAnsi="Courier New" w:eastAsia="SimSun" w:cs="Courier New"/>
          <w:i/>
          <w:i/>
          <w:iCs/>
          <w:kern w:val="2"/>
          <w:sz w:val="24"/>
          <w:szCs w:val="24"/>
          <w:lang w:eastAsia="it-IT"/>
        </w:rPr>
      </w:pPr>
      <w:r>
        <w:rPr>
          <w:rFonts w:eastAsia="SimSun" w:cs="Courier New" w:ascii="Courier New" w:hAnsi="Courier New"/>
          <w:kern w:val="2"/>
          <w:sz w:val="24"/>
          <w:szCs w:val="24"/>
          <w:lang w:eastAsia="it-IT"/>
        </w:rPr>
        <w:t>Indicatori quantitativi:</w:t>
      </w:r>
      <w:r>
        <w:rPr>
          <w:rFonts w:eastAsia="SimSun" w:cs="Courier New" w:ascii="Courier New" w:hAnsi="Courier New"/>
          <w:i/>
          <w:iCs/>
          <w:kern w:val="2"/>
          <w:sz w:val="24"/>
          <w:szCs w:val="24"/>
          <w:lang w:eastAsia="it-IT"/>
        </w:rPr>
        <w:t xml:space="preserve"> inserire almeno il numero (cumulato dall’inizio del progetto alla data del presente report) di giovani coinvolti e/o interagenti, per ciascuno dei Centri e delle Forme di aggregazione giovanile avviate nonché ogni altro dato ritenuto utile alla comprensione dell’andamento).</w:t>
      </w:r>
    </w:p>
    <w:tbl>
      <w:tblPr>
        <w:tblW w:w="4950" w:type="pct"/>
        <w:jc w:val="left"/>
        <w:tblInd w:w="70" w:type="dxa"/>
        <w:tblCellMar>
          <w:top w:w="0" w:type="dxa"/>
          <w:left w:w="70" w:type="dxa"/>
          <w:bottom w:w="0" w:type="dxa"/>
          <w:right w:w="70" w:type="dxa"/>
        </w:tblCellMar>
        <w:tblLook w:firstRow="0" w:noVBand="0" w:lastRow="0" w:firstColumn="0" w:lastColumn="0" w:noHBand="0" w:val="0000"/>
      </w:tblPr>
      <w:tblGrid>
        <w:gridCol w:w="1579"/>
        <w:gridCol w:w="3614"/>
        <w:gridCol w:w="2098"/>
        <w:gridCol w:w="2099"/>
      </w:tblGrid>
      <w:tr>
        <w:trPr>
          <w:tblHeader w:val="true"/>
          <w:trHeight w:val="418" w:hRule="atLeast"/>
        </w:trPr>
        <w:tc>
          <w:tcPr>
            <w:tcW w:w="1579" w:type="dxa"/>
            <w:vMerge w:val="restart"/>
            <w:tcBorders>
              <w:top w:val="single" w:sz="4" w:space="0" w:color="000000"/>
              <w:left w:val="single" w:sz="4" w:space="0" w:color="000000"/>
              <w:bottom w:val="single" w:sz="4" w:space="0" w:color="000000"/>
              <w:right w:val="single" w:sz="4" w:space="0" w:color="000000"/>
            </w:tcBorders>
            <w:shd w:color="auto" w:fill="C6D9F1" w:val="clear"/>
            <w:vAlign w:val="center"/>
          </w:tcPr>
          <w:p>
            <w:pPr>
              <w:pStyle w:val="Normal"/>
              <w:widowControl w:val="false"/>
              <w:spacing w:lineRule="auto" w:line="288" w:before="60" w:after="200"/>
              <w:jc w:val="center"/>
              <w:textAlignment w:val="baseline"/>
              <w:rPr>
                <w:rFonts w:ascii="Courier New" w:hAnsi="Courier New" w:eastAsia="SimSun" w:cs="Courier New"/>
                <w:b/>
                <w:b/>
                <w:kern w:val="2"/>
                <w:sz w:val="24"/>
                <w:szCs w:val="24"/>
                <w:lang w:eastAsia="it-IT"/>
              </w:rPr>
            </w:pPr>
            <w:r>
              <w:rPr>
                <w:rFonts w:eastAsia="SimSun" w:cs="Courier New" w:ascii="Courier New" w:hAnsi="Courier New"/>
                <w:b/>
                <w:kern w:val="2"/>
                <w:sz w:val="24"/>
                <w:szCs w:val="24"/>
                <w:lang w:eastAsia="it-IT"/>
              </w:rPr>
              <w:t>Codice o titolo intervento</w:t>
            </w:r>
          </w:p>
        </w:tc>
        <w:tc>
          <w:tcPr>
            <w:tcW w:w="3614" w:type="dxa"/>
            <w:vMerge w:val="restart"/>
            <w:tcBorders>
              <w:top w:val="single" w:sz="4" w:space="0" w:color="000000"/>
              <w:left w:val="single" w:sz="4" w:space="0" w:color="000000"/>
              <w:bottom w:val="single" w:sz="4" w:space="0" w:color="000000"/>
              <w:right w:val="single" w:sz="4" w:space="0" w:color="000000"/>
            </w:tcBorders>
            <w:shd w:color="auto" w:fill="C6D9F1" w:val="clear"/>
            <w:vAlign w:val="center"/>
          </w:tcPr>
          <w:p>
            <w:pPr>
              <w:pStyle w:val="Normal"/>
              <w:widowControl w:val="false"/>
              <w:spacing w:lineRule="auto" w:line="288" w:before="60" w:after="200"/>
              <w:jc w:val="center"/>
              <w:textAlignment w:val="baseline"/>
              <w:rPr>
                <w:rFonts w:ascii="Courier New" w:hAnsi="Courier New" w:eastAsia="SimSun" w:cs="Courier New"/>
                <w:b/>
                <w:b/>
                <w:kern w:val="2"/>
                <w:sz w:val="24"/>
                <w:szCs w:val="24"/>
                <w:lang w:eastAsia="it-IT"/>
              </w:rPr>
            </w:pPr>
            <w:r>
              <w:rPr>
                <w:rFonts w:eastAsia="SimSun" w:cs="Courier New" w:ascii="Courier New" w:hAnsi="Courier New"/>
                <w:b/>
                <w:kern w:val="2"/>
                <w:sz w:val="24"/>
                <w:szCs w:val="24"/>
                <w:lang w:eastAsia="it-IT"/>
              </w:rPr>
              <w:t>Osservazioni (*)</w:t>
            </w:r>
          </w:p>
        </w:tc>
        <w:tc>
          <w:tcPr>
            <w:tcW w:w="4197" w:type="dxa"/>
            <w:gridSpan w:val="2"/>
            <w:tcBorders>
              <w:top w:val="single" w:sz="4" w:space="0" w:color="000000"/>
              <w:left w:val="single" w:sz="4" w:space="0" w:color="000000"/>
              <w:bottom w:val="single" w:sz="4" w:space="0" w:color="000000"/>
              <w:right w:val="single" w:sz="4" w:space="0" w:color="000000"/>
            </w:tcBorders>
            <w:shd w:color="auto" w:fill="C6D9F1" w:val="clear"/>
          </w:tcPr>
          <w:p>
            <w:pPr>
              <w:pStyle w:val="Normal"/>
              <w:widowControl w:val="false"/>
              <w:spacing w:lineRule="auto" w:line="288" w:before="60" w:after="200"/>
              <w:jc w:val="center"/>
              <w:textAlignment w:val="baseline"/>
              <w:rPr>
                <w:rFonts w:ascii="Courier New" w:hAnsi="Courier New" w:eastAsia="SimSun" w:cs="Courier New"/>
                <w:b/>
                <w:b/>
                <w:kern w:val="2"/>
                <w:sz w:val="24"/>
                <w:szCs w:val="24"/>
                <w:lang w:eastAsia="it-IT"/>
              </w:rPr>
            </w:pPr>
            <w:r>
              <w:rPr>
                <w:rFonts w:eastAsia="SimSun" w:cs="Courier New" w:ascii="Courier New" w:hAnsi="Courier New"/>
                <w:b/>
                <w:kern w:val="2"/>
                <w:sz w:val="24"/>
                <w:szCs w:val="24"/>
                <w:lang w:eastAsia="it-IT"/>
              </w:rPr>
              <w:t>Dati(**)</w:t>
            </w:r>
          </w:p>
        </w:tc>
      </w:tr>
      <w:tr>
        <w:trPr>
          <w:tblHeader w:val="true"/>
          <w:trHeight w:val="418" w:hRule="atLeast"/>
        </w:trPr>
        <w:tc>
          <w:tcPr>
            <w:tcW w:w="1579" w:type="dxa"/>
            <w:vMerge w:val="continue"/>
            <w:tcBorders>
              <w:top w:val="single" w:sz="4" w:space="0" w:color="000000"/>
              <w:left w:val="single" w:sz="4" w:space="0" w:color="000000"/>
              <w:bottom w:val="single" w:sz="4" w:space="0" w:color="000000"/>
              <w:right w:val="single" w:sz="4" w:space="0" w:color="000000"/>
            </w:tcBorders>
            <w:shd w:color="auto" w:fill="C6D9F1" w:val="clear"/>
            <w:vAlign w:val="center"/>
          </w:tcPr>
          <w:p>
            <w:pPr>
              <w:pStyle w:val="Normal"/>
              <w:widowControl w:val="false"/>
              <w:spacing w:lineRule="auto" w:line="288" w:before="60" w:after="200"/>
              <w:jc w:val="center"/>
              <w:textAlignment w:val="baseline"/>
              <w:rPr>
                <w:rFonts w:ascii="Courier New" w:hAnsi="Courier New" w:eastAsia="SimSun" w:cs="Courier New"/>
                <w:b/>
                <w:b/>
                <w:kern w:val="2"/>
                <w:sz w:val="24"/>
                <w:szCs w:val="24"/>
                <w:lang w:eastAsia="it-IT"/>
              </w:rPr>
            </w:pPr>
            <w:r>
              <w:rPr>
                <w:rFonts w:eastAsia="SimSun" w:cs="Courier New" w:ascii="Courier New" w:hAnsi="Courier New"/>
                <w:b/>
                <w:kern w:val="2"/>
                <w:sz w:val="24"/>
                <w:szCs w:val="24"/>
                <w:lang w:eastAsia="it-IT"/>
              </w:rPr>
            </w:r>
          </w:p>
        </w:tc>
        <w:tc>
          <w:tcPr>
            <w:tcW w:w="3614" w:type="dxa"/>
            <w:vMerge w:val="continue"/>
            <w:tcBorders>
              <w:top w:val="single" w:sz="4" w:space="0" w:color="000000"/>
              <w:left w:val="single" w:sz="4" w:space="0" w:color="000000"/>
              <w:bottom w:val="single" w:sz="4" w:space="0" w:color="000000"/>
              <w:right w:val="single" w:sz="4" w:space="0" w:color="000000"/>
            </w:tcBorders>
            <w:shd w:color="auto" w:fill="C6D9F1" w:val="clear"/>
          </w:tcPr>
          <w:p>
            <w:pPr>
              <w:pStyle w:val="Normal"/>
              <w:widowControl w:val="false"/>
              <w:spacing w:lineRule="auto" w:line="288" w:before="60" w:after="200"/>
              <w:jc w:val="center"/>
              <w:textAlignment w:val="baseline"/>
              <w:rPr>
                <w:rFonts w:ascii="Courier New" w:hAnsi="Courier New" w:eastAsia="SimSun" w:cs="Courier New"/>
                <w:b/>
                <w:b/>
                <w:kern w:val="2"/>
                <w:sz w:val="24"/>
                <w:szCs w:val="24"/>
                <w:lang w:eastAsia="it-IT"/>
              </w:rPr>
            </w:pPr>
            <w:r>
              <w:rPr>
                <w:rFonts w:eastAsia="SimSun" w:cs="Courier New" w:ascii="Courier New" w:hAnsi="Courier New"/>
                <w:b/>
                <w:kern w:val="2"/>
                <w:sz w:val="24"/>
                <w:szCs w:val="24"/>
                <w:lang w:eastAsia="it-IT"/>
              </w:rPr>
            </w:r>
          </w:p>
        </w:tc>
        <w:tc>
          <w:tcPr>
            <w:tcW w:w="2098" w:type="dxa"/>
            <w:tcBorders>
              <w:top w:val="single" w:sz="4" w:space="0" w:color="000000"/>
              <w:left w:val="single" w:sz="4" w:space="0" w:color="000000"/>
              <w:bottom w:val="single" w:sz="4" w:space="0" w:color="000000"/>
              <w:right w:val="single" w:sz="4" w:space="0" w:color="000000"/>
            </w:tcBorders>
            <w:shd w:color="auto" w:fill="C6D9F1" w:val="clear"/>
          </w:tcPr>
          <w:p>
            <w:pPr>
              <w:pStyle w:val="Normal"/>
              <w:widowControl w:val="false"/>
              <w:spacing w:lineRule="auto" w:line="288" w:before="60" w:after="200"/>
              <w:jc w:val="center"/>
              <w:textAlignment w:val="baseline"/>
              <w:rPr>
                <w:rFonts w:ascii="Courier New" w:hAnsi="Courier New" w:eastAsia="SimSun" w:cs="Courier New"/>
                <w:b/>
                <w:b/>
                <w:kern w:val="2"/>
                <w:sz w:val="24"/>
                <w:szCs w:val="24"/>
                <w:lang w:eastAsia="it-IT"/>
              </w:rPr>
            </w:pPr>
            <w:r>
              <w:rPr>
                <w:rFonts w:eastAsia="SimSun" w:cs="Courier New" w:ascii="Courier New" w:hAnsi="Courier New"/>
                <w:b/>
                <w:kern w:val="2"/>
                <w:sz w:val="24"/>
                <w:szCs w:val="24"/>
                <w:lang w:eastAsia="it-IT"/>
              </w:rPr>
              <w:t>Attività</w:t>
            </w:r>
          </w:p>
        </w:tc>
        <w:tc>
          <w:tcPr>
            <w:tcW w:w="2099" w:type="dxa"/>
            <w:tcBorders>
              <w:top w:val="single" w:sz="4" w:space="0" w:color="000000"/>
              <w:left w:val="single" w:sz="4" w:space="0" w:color="000000"/>
              <w:bottom w:val="single" w:sz="4" w:space="0" w:color="000000"/>
              <w:right w:val="single" w:sz="4" w:space="0" w:color="000000"/>
            </w:tcBorders>
            <w:shd w:color="auto" w:fill="C6D9F1" w:val="clear"/>
            <w:vAlign w:val="center"/>
          </w:tcPr>
          <w:p>
            <w:pPr>
              <w:pStyle w:val="Normal"/>
              <w:widowControl w:val="false"/>
              <w:spacing w:lineRule="auto" w:line="288" w:before="60" w:after="200"/>
              <w:jc w:val="center"/>
              <w:textAlignment w:val="baseline"/>
              <w:rPr>
                <w:rFonts w:ascii="Courier New" w:hAnsi="Courier New" w:eastAsia="SimSun" w:cs="Courier New"/>
                <w:b/>
                <w:b/>
                <w:kern w:val="2"/>
                <w:sz w:val="24"/>
                <w:szCs w:val="24"/>
                <w:lang w:eastAsia="it-IT"/>
              </w:rPr>
            </w:pPr>
            <w:r>
              <w:rPr>
                <w:rFonts w:eastAsia="SimSun" w:cs="Courier New" w:ascii="Courier New" w:hAnsi="Courier New"/>
                <w:b/>
                <w:kern w:val="2"/>
                <w:sz w:val="24"/>
                <w:szCs w:val="24"/>
                <w:lang w:eastAsia="it-IT"/>
              </w:rPr>
              <w:t>Indicatori quantitativi</w:t>
            </w:r>
          </w:p>
        </w:tc>
      </w:tr>
      <w:tr>
        <w:trPr>
          <w:trHeight w:val="567" w:hRule="atLeast"/>
        </w:trPr>
        <w:tc>
          <w:tcPr>
            <w:tcW w:w="157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88" w:before="60" w:after="200"/>
              <w:jc w:val="both"/>
              <w:textAlignment w:val="baseline"/>
              <w:rPr>
                <w:rFonts w:ascii="Courier New" w:hAnsi="Courier New" w:eastAsia="SimSun" w:cs="Courier New"/>
                <w:kern w:val="2"/>
                <w:sz w:val="24"/>
                <w:szCs w:val="24"/>
                <w:lang w:eastAsia="it-IT"/>
              </w:rPr>
            </w:pPr>
            <w:r>
              <w:rPr>
                <w:rFonts w:eastAsia="SimSun" w:cs="Courier New" w:ascii="Courier New" w:hAnsi="Courier New"/>
                <w:kern w:val="2"/>
                <w:sz w:val="24"/>
                <w:szCs w:val="24"/>
                <w:lang w:eastAsia="it-IT"/>
              </w:rPr>
            </w:r>
          </w:p>
        </w:tc>
        <w:tc>
          <w:tcPr>
            <w:tcW w:w="361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88" w:before="60" w:after="200"/>
              <w:jc w:val="both"/>
              <w:textAlignment w:val="baseline"/>
              <w:rPr>
                <w:rFonts w:ascii="Courier New" w:hAnsi="Courier New" w:eastAsia="SimSun" w:cs="Courier New"/>
                <w:kern w:val="2"/>
                <w:sz w:val="24"/>
                <w:szCs w:val="24"/>
                <w:lang w:eastAsia="it-IT"/>
              </w:rPr>
            </w:pPr>
            <w:r>
              <w:rPr>
                <w:rFonts w:eastAsia="SimSun" w:cs="Courier New" w:ascii="Courier New" w:hAnsi="Courier New"/>
                <w:kern w:val="2"/>
                <w:sz w:val="24"/>
                <w:szCs w:val="24"/>
                <w:lang w:eastAsia="it-IT"/>
              </w:rPr>
            </w:r>
          </w:p>
        </w:tc>
        <w:tc>
          <w:tcPr>
            <w:tcW w:w="209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88" w:before="60" w:after="200"/>
              <w:jc w:val="both"/>
              <w:textAlignment w:val="baseline"/>
              <w:rPr>
                <w:rFonts w:ascii="Courier New" w:hAnsi="Courier New" w:eastAsia="SimSun" w:cs="Courier New"/>
                <w:kern w:val="2"/>
                <w:sz w:val="24"/>
                <w:szCs w:val="24"/>
                <w:lang w:eastAsia="it-IT"/>
              </w:rPr>
            </w:pPr>
            <w:r>
              <w:rPr>
                <w:rFonts w:eastAsia="SimSun" w:cs="Courier New" w:ascii="Courier New" w:hAnsi="Courier New"/>
                <w:kern w:val="2"/>
                <w:sz w:val="24"/>
                <w:szCs w:val="24"/>
                <w:lang w:eastAsia="it-IT"/>
              </w:rPr>
            </w:r>
          </w:p>
        </w:tc>
        <w:tc>
          <w:tcPr>
            <w:tcW w:w="20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88" w:before="60" w:after="200"/>
              <w:jc w:val="both"/>
              <w:textAlignment w:val="baseline"/>
              <w:rPr>
                <w:rFonts w:ascii="Courier New" w:hAnsi="Courier New" w:eastAsia="SimSun" w:cs="Courier New"/>
                <w:kern w:val="2"/>
                <w:sz w:val="24"/>
                <w:szCs w:val="24"/>
                <w:lang w:eastAsia="it-IT"/>
              </w:rPr>
            </w:pPr>
            <w:r>
              <w:rPr>
                <w:rFonts w:eastAsia="SimSun" w:cs="Courier New" w:ascii="Courier New" w:hAnsi="Courier New"/>
                <w:kern w:val="2"/>
                <w:sz w:val="24"/>
                <w:szCs w:val="24"/>
                <w:lang w:eastAsia="it-IT"/>
              </w:rPr>
            </w:r>
          </w:p>
        </w:tc>
      </w:tr>
      <w:tr>
        <w:trPr>
          <w:trHeight w:val="567" w:hRule="atLeast"/>
        </w:trPr>
        <w:tc>
          <w:tcPr>
            <w:tcW w:w="157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88" w:before="60" w:after="200"/>
              <w:jc w:val="both"/>
              <w:textAlignment w:val="baseline"/>
              <w:rPr>
                <w:rFonts w:ascii="Courier New" w:hAnsi="Courier New" w:eastAsia="SimSun" w:cs="Courier New"/>
                <w:kern w:val="2"/>
                <w:sz w:val="24"/>
                <w:szCs w:val="24"/>
                <w:lang w:eastAsia="it-IT"/>
              </w:rPr>
            </w:pPr>
            <w:r>
              <w:rPr>
                <w:rFonts w:eastAsia="SimSun" w:cs="Courier New" w:ascii="Courier New" w:hAnsi="Courier New"/>
                <w:kern w:val="2"/>
                <w:sz w:val="24"/>
                <w:szCs w:val="24"/>
                <w:lang w:eastAsia="it-IT"/>
              </w:rPr>
            </w:r>
          </w:p>
        </w:tc>
        <w:tc>
          <w:tcPr>
            <w:tcW w:w="361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88" w:before="60" w:after="200"/>
              <w:jc w:val="both"/>
              <w:textAlignment w:val="baseline"/>
              <w:rPr>
                <w:rFonts w:ascii="Courier New" w:hAnsi="Courier New" w:eastAsia="SimSun" w:cs="Courier New"/>
                <w:kern w:val="2"/>
                <w:sz w:val="24"/>
                <w:szCs w:val="24"/>
                <w:lang w:eastAsia="it-IT"/>
              </w:rPr>
            </w:pPr>
            <w:r>
              <w:rPr>
                <w:rFonts w:eastAsia="SimSun" w:cs="Courier New" w:ascii="Courier New" w:hAnsi="Courier New"/>
                <w:kern w:val="2"/>
                <w:sz w:val="24"/>
                <w:szCs w:val="24"/>
                <w:lang w:eastAsia="it-IT"/>
              </w:rPr>
            </w:r>
          </w:p>
        </w:tc>
        <w:tc>
          <w:tcPr>
            <w:tcW w:w="209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88" w:before="60" w:after="200"/>
              <w:jc w:val="both"/>
              <w:textAlignment w:val="baseline"/>
              <w:rPr>
                <w:rFonts w:ascii="Courier New" w:hAnsi="Courier New" w:eastAsia="SimSun" w:cs="Courier New"/>
                <w:kern w:val="2"/>
                <w:sz w:val="24"/>
                <w:szCs w:val="24"/>
                <w:lang w:eastAsia="it-IT"/>
              </w:rPr>
            </w:pPr>
            <w:r>
              <w:rPr>
                <w:rFonts w:eastAsia="SimSun" w:cs="Courier New" w:ascii="Courier New" w:hAnsi="Courier New"/>
                <w:kern w:val="2"/>
                <w:sz w:val="24"/>
                <w:szCs w:val="24"/>
                <w:lang w:eastAsia="it-IT"/>
              </w:rPr>
            </w:r>
          </w:p>
        </w:tc>
        <w:tc>
          <w:tcPr>
            <w:tcW w:w="209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288" w:before="60" w:after="200"/>
              <w:jc w:val="both"/>
              <w:textAlignment w:val="baseline"/>
              <w:rPr>
                <w:rFonts w:ascii="Courier New" w:hAnsi="Courier New" w:eastAsia="SimSun" w:cs="Courier New"/>
                <w:kern w:val="2"/>
                <w:sz w:val="24"/>
                <w:szCs w:val="24"/>
                <w:lang w:eastAsia="it-IT"/>
              </w:rPr>
            </w:pPr>
            <w:r>
              <w:rPr>
                <w:rFonts w:eastAsia="SimSun" w:cs="Courier New" w:ascii="Courier New" w:hAnsi="Courier New"/>
                <w:kern w:val="2"/>
                <w:sz w:val="24"/>
                <w:szCs w:val="24"/>
                <w:lang w:eastAsia="it-IT"/>
              </w:rPr>
            </w:r>
          </w:p>
        </w:tc>
      </w:tr>
    </w:tbl>
    <w:p>
      <w:pPr>
        <w:pStyle w:val="Normal"/>
        <w:widowControl w:val="false"/>
        <w:suppressAutoHyphens w:val="true"/>
        <w:spacing w:lineRule="atLeast" w:line="200" w:before="0" w:after="200"/>
        <w:jc w:val="both"/>
        <w:textAlignment w:val="baseline"/>
        <w:rPr>
          <w:rFonts w:ascii="Calibri" w:hAnsi="Calibri" w:eastAsia="SimSun" w:cs="Tahoma"/>
          <w:kern w:val="2"/>
          <w:sz w:val="24"/>
          <w:szCs w:val="24"/>
        </w:rPr>
      </w:pPr>
      <w:r>
        <w:rPr>
          <w:rFonts w:eastAsia="SimSun" w:cs="Tahoma"/>
          <w:kern w:val="2"/>
          <w:sz w:val="24"/>
          <w:szCs w:val="24"/>
        </w:rPr>
      </w:r>
      <w:r>
        <w:br w:type="page"/>
      </w:r>
    </w:p>
    <w:p>
      <w:pPr>
        <w:pStyle w:val="Normal"/>
        <w:widowControl w:val="false"/>
        <w:suppressAutoHyphens w:val="true"/>
        <w:spacing w:lineRule="auto" w:line="276" w:before="0" w:after="200"/>
        <w:ind w:right="-82" w:hanging="0"/>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Allegato 3)</w:t>
      </w:r>
    </w:p>
    <w:p>
      <w:pPr>
        <w:pStyle w:val="Normal"/>
        <w:widowControl w:val="false"/>
        <w:suppressAutoHyphens w:val="true"/>
        <w:spacing w:lineRule="auto" w:line="276" w:before="120" w:after="120"/>
        <w:ind w:right="-82" w:hanging="0"/>
        <w:jc w:val="center"/>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Accordo per il trattamento di dati personali</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Il presente accordo costituisce allegato parte integrante della Convenzione siglata tra la Giunta della Regione Emilia-Romagna e il Soggetto esterno designato ai sensi dell’art. 28 del GDPR Responsabile del trattamento di dati personali di cui la Regione Emilia-Romagna è titolare.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1. Premesse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(A)</w:t>
        <w:tab/>
        <w:t>Il presente Accordo si compone delle clausole di seguito rappresentate e dal Glossario.</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Le Parti convengono quanto segue: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2.</w:t>
        <w:tab/>
        <w:t>Trattamento dei dati nel rispetto delle istruzioni della Giunta della Regione Emilia-Romagna</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2.1 </w:t>
        <w:tab/>
        <w:t xml:space="preserve">Il Responsabile del trattamento, relativamente a tutti i Dati personali che tratta per conto dell’Amministrazione regionale garantisce che: </w:t>
      </w:r>
    </w:p>
    <w:p>
      <w:pPr>
        <w:pStyle w:val="Normal"/>
        <w:widowControl w:val="false"/>
        <w:suppressAutoHyphens w:val="true"/>
        <w:spacing w:lineRule="auto" w:line="276" w:before="120" w:after="120"/>
        <w:ind w:left="708"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2.1.1 </w:t>
        <w:tab/>
        <w:t>tratta tali Dati personali solo ai fini dell’esecuzione dell’oggetto della Convenzione, e, successivamente, solo nel rispetto di quanto eventualmente concordato dalle Parti per iscritto, agendo pertanto, esclusivamente sulla base delle istruzioni documentate e fornite dall’Amministrazione regionale.</w:t>
      </w:r>
    </w:p>
    <w:p>
      <w:pPr>
        <w:pStyle w:val="Normal"/>
        <w:widowControl w:val="false"/>
        <w:suppressAutoHyphens w:val="true"/>
        <w:spacing w:lineRule="auto" w:line="276" w:before="120" w:after="120"/>
        <w:ind w:left="708"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2.1.2 </w:t>
        <w:tab/>
        <w:t>non trasferisce i Dati personali a soggetti terzi, se non nel rispetto delle condizioni di liceità assolte dall’Amministrazione regionale e a fronte di quanto disciplinato nel presente accordo</w:t>
      </w:r>
      <w:r>
        <w:rPr>
          <w:rFonts w:eastAsia="SimSun" w:cs="Tahoma" w:ascii="Courier New" w:hAnsi="Courier New"/>
          <w:color w:val="FF0000"/>
          <w:kern w:val="2"/>
          <w:sz w:val="24"/>
          <w:szCs w:val="24"/>
        </w:rPr>
        <w:t>.</w:t>
      </w:r>
    </w:p>
    <w:p>
      <w:pPr>
        <w:pStyle w:val="Normal"/>
        <w:widowControl w:val="false"/>
        <w:suppressAutoHyphens w:val="true"/>
        <w:spacing w:lineRule="auto" w:line="276" w:before="120" w:after="120"/>
        <w:ind w:left="708"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2.1.3 </w:t>
        <w:tab/>
        <w:t>non tratta o utilizza i Dati personali per finalità diverse da quelle per cui è conferito incarico dall’Amministrazione regionale, financo per trattamenti aventi finalità compatibili con quelle originarie</w:t>
      </w:r>
      <w:r>
        <w:rPr>
          <w:rFonts w:eastAsia="SimSun" w:cs="Tahoma" w:ascii="Courier New" w:hAnsi="Courier New"/>
          <w:color w:val="FF0000"/>
          <w:kern w:val="2"/>
          <w:sz w:val="24"/>
          <w:szCs w:val="24"/>
        </w:rPr>
        <w:t>.</w:t>
      </w:r>
      <w:r>
        <w:rPr>
          <w:rFonts w:eastAsia="SimSun" w:cs="Tahoma" w:ascii="Courier New" w:hAnsi="Courier New"/>
          <w:kern w:val="2"/>
          <w:sz w:val="24"/>
          <w:szCs w:val="24"/>
        </w:rPr>
        <w:t xml:space="preserve"> </w:t>
      </w:r>
    </w:p>
    <w:p>
      <w:pPr>
        <w:pStyle w:val="Normal"/>
        <w:widowControl w:val="false"/>
        <w:suppressAutoHyphens w:val="true"/>
        <w:spacing w:lineRule="auto" w:line="276" w:before="120" w:after="120"/>
        <w:ind w:left="708"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2.1.4 </w:t>
        <w:tab/>
        <w:t xml:space="preserve">prima di iniziare ogni trattamento e, ove occorra, in qualsiasi altro momento, informerà l’Amministrazione regionale se, a suo parere, una qualsiasi istruzione fornita dall’Amministrazione stessa si ponga in violazione di Normativa applicabile.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2.2 </w:t>
        <w:tab/>
        <w:t xml:space="preserve">Al fine di dare seguito alle eventuali richieste da parte di soggetti interessati, il Responsabile del trattamento si obbliga ad adottare: </w:t>
      </w:r>
    </w:p>
    <w:p>
      <w:pPr>
        <w:pStyle w:val="Normal"/>
        <w:widowControl w:val="false"/>
        <w:suppressAutoHyphens w:val="true"/>
        <w:spacing w:lineRule="auto" w:line="276" w:before="120" w:after="120"/>
        <w:ind w:left="709"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2.2.1 procedure idonee a garantire il rispetto dei diritti e delle richieste formulate all’Amministrazione regionale dagli interessati relativamente ai loro dati personali e/o a conformarsi alle istruzioni fornite dall’Amministrazione stessa in materia; </w:t>
      </w:r>
    </w:p>
    <w:p>
      <w:pPr>
        <w:pStyle w:val="Normal"/>
        <w:widowControl w:val="false"/>
        <w:suppressAutoHyphens w:val="true"/>
        <w:spacing w:lineRule="auto" w:line="276" w:before="120" w:after="120"/>
        <w:ind w:left="709"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2.2.2</w:t>
        <w:tab/>
        <w:t xml:space="preserve">procedure atte a garantire l’aggiornamento, la modifica e la correzione, su richiesta dell’Amministrazione regionale dei dati personali di ogni interessato e/o a conformarsi alle istruzioni fornite dall’Amministrazione stessa in materia; </w:t>
      </w:r>
    </w:p>
    <w:p>
      <w:pPr>
        <w:pStyle w:val="Normal"/>
        <w:widowControl w:val="false"/>
        <w:suppressAutoHyphens w:val="true"/>
        <w:spacing w:lineRule="auto" w:line="276" w:before="120" w:after="120"/>
        <w:ind w:left="709"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2.2.3</w:t>
        <w:tab/>
        <w:t xml:space="preserve">procedure atte a garantire la cancellazione o il blocco dell’accesso ai dati personali a richiesta dall’Amministrazione regionale e/o a conformarsi alle istruzioni fornite dall’Amministrazione stessa in materia; </w:t>
      </w:r>
    </w:p>
    <w:p>
      <w:pPr>
        <w:pStyle w:val="Normal"/>
        <w:widowControl w:val="false"/>
        <w:suppressAutoHyphens w:val="true"/>
        <w:spacing w:lineRule="auto" w:line="276" w:before="120" w:after="120"/>
        <w:ind w:left="709"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2.2.4</w:t>
        <w:tab/>
        <w:t>procedure atte a garantire il diritto degli interessati alla limitazione di trattamento, su richiesta dell’Amministrazione regionale e/o a conformarsi alle istruzioni fornite dalla stessa in materia.</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2.3 </w:t>
        <w:tab/>
        <w:t xml:space="preserve">Il Responsabile del trattamento deve garantire e fornire all’Amministrazione regionale cooperazione, assistenza e le informazioni che potrebbero essere ragionevolmente richieste dalla stessa, per consentirle di adempiere ai propri obblighi ai sensi della normativa applicabile, ivi compresi i provvedimenti e le specifiche decisioni del Garante per la protezione dei dati personali.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2.4 </w:t>
        <w:tab/>
        <w:t>Il Responsabile del trattamento, anche nel rispetto di quanto previsto all’art. 30 del Regolamento, deve mantenere e compilare e rendere disponibile a richiesta della stessa, un registro dei trattamenti dati personali che riporti tutte le informazioni richieste dalla norma.</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2.5 </w:t>
        <w:tab/>
        <w:t xml:space="preserve">Il Responsabile del trattamento assicura la massima collaborazione al fine dell’esperimento delle valutazioni di impatto ex art. 35 del GDPR che l’Amministrazione regionale intenderà esperire sui trattamenti che rivelano, a Suo insindacabile giudizio, un rischio elevato per i diritti e le libertà delle persone fisiche.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kern w:val="2"/>
          <w:sz w:val="24"/>
          <w:szCs w:val="24"/>
        </w:rPr>
        <w:tab/>
      </w:r>
      <w:r>
        <w:rPr>
          <w:rFonts w:eastAsia="SimSun" w:cs="Tahoma" w:ascii="Courier New" w:hAnsi="Courier New"/>
          <w:b/>
          <w:bCs/>
          <w:kern w:val="2"/>
          <w:sz w:val="24"/>
          <w:szCs w:val="24"/>
        </w:rPr>
        <w:t>3.</w:t>
        <w:tab/>
        <w:t>Le misure di sicurezza</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3.1 </w:t>
        <w:tab/>
        <w:t>Il Responsabile del trattamento deve adottare e mantenere appropriate misure di sicurezza, sia tecniche che organizzative, per proteggere i dati personali da eventuali distruzioni o perdite di natura illecita o accidentale, danni, alterazioni, divulgazioni o accessi non autorizzati.</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3.2 </w:t>
        <w:tab/>
        <w:t>Nei casi in cui il Responsabile effettui trattamenti di conservazione dei dati personali del Titolare nel proprio sistema informativo, garantisce la separazione di tipo logico di tali dati da quelli trattati per conto di terze parti o per proprio conto.</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3.3.</w:t>
        <w:tab/>
        <w:t>Il Responsabile del trattamento conserva, nel caso siano allo stesso affidati servizi di amministrazione di sistema, direttamente e specificamente, per ogni eventuale evenienza, gli estremi identificativi delle persone fisiche preposte quali amministratori di sistema.</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3.4 </w:t>
        <w:tab/>
        <w:t>L’Amministrazione regionale attribuisce al Responsabile del trattamento il compito di dare attuazione alla prescrizione di cui al punto 2 lettera e) “Verifica delle attività” del Provvedimento del Garante per la protezione dei dati personali del 27 novembre 2008 “Misure e accorgimenti prescritti ai titolari dei trattamenti effettuati con strumenti elettronici relativamente alle attribuzioni delle funzioni di amministratore di sistema”.</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3.5 </w:t>
        <w:tab/>
        <w:t>Il Responsabile del trattamento deve adottare misure tecniche ed organizzative adeguate a salvaguardare la sicurezza di qualsiasi rete di comunicazione elettronica o dei servizi forniti al Titolare, con specifico riferimento alle misure intese a prevenire l'intercettazione di comunicazioni o l'accesso non autorizzato a qualsiasi computer o sistema.</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3.6 </w:t>
        <w:tab/>
        <w:t>Conformemente alla disposizione di cui all’art. 28 comma 1 del Regolamento e alla valutazione delle garanzie che il Responsabile del trattamento deve presentare, lo stesso Responsabile attesta, a mezzo della sottoscrizione del presente accordo, la conformità della propria organizzazione almeno ai parametri di livello minimo di cui alle misure di sicurezza individuate da Agid la circolare n. 2/2017.</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3.7 </w:t>
        <w:tab/>
        <w:t>Il Responsabile del trattamento dà esecuzione alla Convenzione in aderenza alle policy dell’Amministrazione regionale in materia di privacy e sicurezza informatica, tra le quali:</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 xml:space="preserve">4. </w:t>
        <w:tab/>
        <w:t xml:space="preserve">Analisi dei rischi, privacy by design e privacy by default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4.1 </w:t>
        <w:tab/>
        <w:t xml:space="preserve">Con riferimento agli esiti dell’analisi dei rischi effettuata dall’Amministrazione regionale sui trattamenti di dati personali cui concorre il Responsabile del trattamento, lo stesso assicura massima cooperazione e assistenza al fine di dare effettività alle azioni di mitigazione previste dall’Amministrazione stessa per affrontare eventuali rischi identificati.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4.2 </w:t>
        <w:tab/>
        <w:t xml:space="preserve">Il Responsabile del trattamento dovrà consentire all’Amministrazione regionale, tenuto conto dello stato della tecnica, dei costi, della natura, dell’ambito e della finalità del relativo trattamento, di adottare, sia nella fase iniziale di determinazione dei mezzi di trattamento, che durante il trattamento stesso, ogni misura tecnica ed organizzativa che si riterrà opportuna per garantire ed attuare i principi previsti in materia di protezione dati e a tutelare i diritti degli interessati.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4.3 </w:t>
        <w:tab/>
        <w:t xml:space="preserve">In linea con i principi di privacy by default, dovranno essere trattati, per impostazione predefinita, esclusivamente quei dati personali necessari per ogni specifica finalità del trattamento, e che in particolare non siano accessibili dati personali ad un numero indefinito di soggetti senza l’intervento di una persona fisica. </w:t>
      </w:r>
    </w:p>
    <w:p>
      <w:pPr>
        <w:pStyle w:val="Normal"/>
        <w:widowControl w:val="false"/>
        <w:suppressAutoHyphens w:val="true"/>
        <w:spacing w:lineRule="auto" w:line="276" w:before="120" w:after="120"/>
        <w:ind w:right="-82" w:hanging="0"/>
        <w:jc w:val="both"/>
        <w:textAlignment w:val="baseline"/>
        <w:rPr/>
      </w:pPr>
      <w:r>
        <w:rPr>
          <w:rFonts w:eastAsia="SimSun" w:cs="Tahoma" w:ascii="Courier New" w:hAnsi="Courier New"/>
          <w:kern w:val="2"/>
          <w:sz w:val="24"/>
          <w:szCs w:val="24"/>
        </w:rPr>
        <w:t xml:space="preserve">4.4 </w:t>
        <w:tab/>
        <w:t>Il Responsabile del trattamento dà esecuzione alla Convenzione in aderenza alle policy di privacy by design e by default adottate dall’Amministrazione regionale, consultabili al link</w:t>
      </w:r>
      <w:r>
        <w:rPr>
          <w:rFonts w:eastAsia="SimSun" w:cs="Tahoma" w:ascii="Courier New" w:hAnsi="Courier New"/>
          <w:color w:val="FF0000"/>
          <w:kern w:val="2"/>
          <w:sz w:val="24"/>
          <w:szCs w:val="24"/>
        </w:rPr>
        <w:t xml:space="preserve"> </w:t>
      </w:r>
      <w:hyperlink r:id="rId4">
        <w:r>
          <w:rPr>
            <w:rStyle w:val="ListLabel76"/>
          </w:rPr>
          <w:t>https://orma.regione.emilia-romagna.it/i/ente-atti-e-leggi/come-funziona/privacy/giunta/la-normativa-sulla-privacy</w:t>
        </w:r>
      </w:hyperlink>
      <w:r>
        <w:rPr>
          <w:rFonts w:eastAsia="SimSun" w:cs="Tahoma" w:ascii="Courier New" w:hAnsi="Courier New"/>
          <w:kern w:val="2"/>
          <w:sz w:val="24"/>
          <w:szCs w:val="24"/>
        </w:rPr>
        <w:t>,</w:t>
      </w:r>
      <w:r>
        <w:rPr>
          <w:rFonts w:eastAsia="SimSun" w:cs="Tahoma" w:ascii="Courier New" w:hAnsi="Courier New"/>
          <w:color w:val="FF0000"/>
          <w:kern w:val="2"/>
          <w:sz w:val="24"/>
          <w:szCs w:val="24"/>
        </w:rPr>
        <w:t xml:space="preserve"> </w:t>
      </w:r>
      <w:r>
        <w:rPr>
          <w:rFonts w:eastAsia="SimSun" w:cs="Tahoma" w:ascii="Courier New" w:hAnsi="Courier New"/>
          <w:kern w:val="2"/>
          <w:sz w:val="24"/>
          <w:szCs w:val="24"/>
        </w:rPr>
        <w:t>che si intendono pertanto comunicate con il presente accordo.</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5.</w:t>
        <w:tab/>
        <w:t>Soggetti autorizzati ad effettuare i trattamenti - Designazione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5.1 </w:t>
        <w:tab/>
        <w:t>Il Responsabile del trattamento garantisce competenze ed affidabilità dei propri dipendenti e collaboratori autorizzati al trattamento dei dati personali (di seguito anche incaricati) effettuati per conto dell’Amministrazione regionale.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5.2 </w:t>
        <w:tab/>
        <w:t>Il Responsabile del trattamento garantisce che gli incaricati abbiano ricevuto adeguata formazione in materia di protezione dei dati personali e sicurezza informatica, consegnando all’Amministrazione regionale le evidenze di tale formazione.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5.3 </w:t>
        <w:tab/>
        <w:t xml:space="preserve">Il Responsabile del trattamento, con riferimento alla protezione e gestione dei dati personali, impone ai propri incaricati obblighi di riservatezza non meno onerosi di quelli previsti nella Convenzione di cui il presente documento costituisce parte integrante. In ogni caso il Responsabile del trattamento è direttamente ritenuto responsabile per qualsiasi divulgazione di dati personali dovesse realizzarsi ad opera di tali soggetti.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6.</w:t>
        <w:tab/>
        <w:t xml:space="preserve">Sub-Responsabili del trattamento di dati personali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6.1 </w:t>
        <w:tab/>
        <w:t>Nell’ambito dell’esecuzione della Convenzione, il Responsabile del trattamento è autorizzato sin d’ora, alla designazione di altri responsabili del trattamento (d’ora in poi anche “sub-responsabili”), previa informazione dell’Amministrazione regionale ed imponendo agli stessi condizioni vincolanti in materia di trattamento dei dati personali non meno onerose di quelle contenute nel presente Accordo.</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6.2 </w:t>
        <w:tab/>
        <w:t xml:space="preserve">Su specifica richiesta dell’Amministrazione regionale, il Responsabile del trattamento dovrà provvedere a che ogni SubResponsabile sottoscriva direttamente con l’Amministrazione stessa un accordo di trattamento dei dati che, a meno di ulteriori e specifiche esigenze, preveda sostanzialmente gli stessi termini del presente Accordo.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6.3 </w:t>
        <w:tab/>
        <w:t xml:space="preserve">In tutti i casi, il Responsabile del trattamento si assume la responsabilità nei confronti dell’Amministrazione regionale per qualsiasi violazione od omissione realizzati da un Sub-Responsabile o da altri terzi soggetti incaricati dallo stesso, indipendentemente dal fatto che il Responsabile del trattamento abbia o meno rispettato i propri obblighi contrattuali, ivi comprese le conseguenze patrimoniali derivanti da tali violazioni od omissioni.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7.</w:t>
        <w:tab/>
        <w:t xml:space="preserve">Trattamento dei dati personali fuori dall’area economica europea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7.1 </w:t>
        <w:tab/>
        <w:t>L’Amministrazione regionale non autorizza il trasferimento dei dati personali oggetto di trattamento al di fuori dell’Unione Europea.</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8.</w:t>
        <w:tab/>
        <w:t>Cancellazione dei dati personali</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8.1 </w:t>
        <w:tab/>
        <w:t xml:space="preserve">Il Responsabile del trattamento, a richiesta del Titolare, provvede alla restituzione o cancellazione dei dati personali trattati per l’esecuzione della presente Convenzione al termine dell’affidamento o del periodo di conservazione e in qualsiasi circostanza in cui sia richiesto dall’Amministrazione regionale, compresa l’ipotesi in cui la stessa debba avvenire per dare seguito a specifica richiesta da parte di interessati.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9.</w:t>
        <w:tab/>
        <w:t>Audit</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9.1 </w:t>
        <w:tab/>
        <w:t>Il Responsabile del trattamento si rende disponibile a specifici audit in tema di privacy e sicurezza informatica da parte dell’Amministrazione regionale.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9.2 </w:t>
        <w:tab/>
        <w:t>Il Responsabile del trattamento consente, pertanto, all’Amministrazione regionale l’accesso ai propri locali e ai locali di qualsiasi SubResponsabile, ai computer e altri sistemi informativi, ad atti, documenti e a quanto ragionevolmente richiesto per verificare che il Responsabile del trattamento, e/o i suoi Sub-fornitori, rispettino gli obblighi derivanti dalla normativa in materia di protezione dei dati personali e, quindi, da questo Accordo.</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9.3 </w:t>
        <w:tab/>
        <w:t>L’Amministrazione regionale può esperire specifici audit anche richiedendo al Responsabile del trattamento di attestare la conformità della propria organizzazione agli oneri di cui alla Normativa applicabile e al presente Accordo.</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9.4 </w:t>
        <w:tab/>
        <w:t xml:space="preserve">L’esperimento di tali audit non deve avere ad oggetto dati di terze parti, informazioni sottoposte ad obblighi di riservatezza degli interessi commerciali.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9.5 </w:t>
        <w:tab/>
        <w:t>Il rifiuto del Responsabile del trattamento di consentire l’audit all’Amministrazione regionale comporta la risoluzione della Convenzione.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10.</w:t>
        <w:tab/>
        <w:t>Indagini dell’Autorità e reclami</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10.1 </w:t>
        <w:tab/>
        <w:t>Nei limiti della normativa applicabile, il Responsabile del trattamento o qualsiasi SubResponsabile informa senza alcun indugio l’Amministrazione regionale di qualsiasi:</w:t>
      </w:r>
    </w:p>
    <w:p>
      <w:pPr>
        <w:pStyle w:val="Normal"/>
        <w:widowControl w:val="false"/>
        <w:suppressAutoHyphens w:val="true"/>
        <w:spacing w:lineRule="auto" w:line="276" w:before="120" w:after="120"/>
        <w:ind w:right="-82" w:firstLine="708"/>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a)</w:t>
        <w:tab/>
        <w:t>richiesta o comunicazione promanante dal Garante per la protezione dei dati personali o da forze dell’ordine;</w:t>
      </w:r>
    </w:p>
    <w:p>
      <w:pPr>
        <w:pStyle w:val="Normal"/>
        <w:widowControl w:val="false"/>
        <w:suppressAutoHyphens w:val="true"/>
        <w:spacing w:lineRule="auto" w:line="276" w:before="120" w:after="120"/>
        <w:ind w:right="-82" w:firstLine="708"/>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b)</w:t>
        <w:tab/>
        <w:t>istanza ricevuta da soggetti interessati;</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10.2</w:t>
        <w:tab/>
        <w:t xml:space="preserve">Il Responsabile del trattamento fornisce, in esecuzione della Convenzione e, quindi, gratuitamente, tutta la dovuta assistenza all’Amministrazione regionale per garantire che la stessa possa rispondere a tali istanze o comunicazioni nei termini temporali previsti dalla normativa e dai regolamentari applicabili.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11.</w:t>
        <w:tab/>
        <w:t xml:space="preserve">Violazione dei dati personali e obblighi di notifica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11.1</w:t>
        <w:tab/>
        <w:t xml:space="preserve">Il Responsabile del trattamento, in virtù di quanto previsto dall’art. 33 del Regolamento e nei limiti di cui al perimetro delle attività affidate, deve comunicare a mezzo di posta elettronica certificata all’Amministrazione regionale nel minor tempo possibile, e comunque non oltre 24 (ventiquattro) ore da quando ne abbia avuto notizia, qualsiasi violazione di sicurezza che abbia comportato accidentalmente o in modo illecito la distruzione, la perdita, la modifica, la divulgazione non autorizzata o l'accesso ai dati personali trasmessi, conservati o comunque trattati, ivi incluse quelle che abbiano riguardato i propri sub-Fornitori. Tale comunicazione deve contenere ogni informazione utile alla gestione del data breach, oltre a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a) </w:t>
        <w:tab/>
        <w:t xml:space="preserve">descrivere la natura della violazione dei dati personali;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b) </w:t>
        <w:tab/>
        <w:t>le categorie e il numero approssimativo di interessati in questione nonché le categorie e il numero approssimativo di registrazioni dei dati personali in questione;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c) </w:t>
        <w:tab/>
        <w:t>i recapiti del DPO nominato o del soggetto competente alla gestione del data breach;</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d) </w:t>
        <w:tab/>
        <w:t>la descrizione delle probabili conseguenze della violazione dei dati personali;</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e) </w:t>
        <w:tab/>
        <w:t>una descrizione delle misure adottate o che si intende adottare per affrontare la Violazione della sicurezza, compreso, ove opportuno, misure per mitigare i suoi possibili effetti negativi;</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11.2 Il Responsabile del trattamento deve fornire tutto il supporto necessario all’Amministrazione regionale ai fini delle indagini e sulle valutazioni in ordine alla violazione di dati, anche al fine di individuare, prevenire e limitare gli effetti negativi della stessa, conformemente ai suoi obblighi ai sensi del presente articolo e, previo accordo con l’Amministrazione stessa, per svolgere qualsiasi azione che si renda necessaria per porre rimedio alla violazione stessa. Il Responsabile del trattamento non deve rilasciare, né pubblicare alcun comunicato stampa o relazione riguardante eventuali data breach o violazioni di trattamento senza aver ottenuto il previo consenso scritto dell’Amministrazione regionale.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12.</w:t>
        <w:tab/>
        <w:t xml:space="preserve">Responsabilità e manleve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12.1 Il Responsabile del trattamento tiene indenne e manleva l’Amministrazione regionale da ogni perdita, costo, sanzione, danno e da ogni responsabilità di qualsiasi natura derivante o in connessione con una qualsiasi violazione da parte del Responsabile del trattamento delle disposizioni contenute nel presente Accordo.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12.2 Nel caso in cui il Responsabile del trattamento commetta violazioni alla normativa in materia di protezione dei dati personali e al presente Accordo, quali ad esempio quelle indicate all’art. 83 commi 4 e 5, l’Amministrazione regionale può risolvere la Convenzione.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12.3 A fronte della ricezione di un reclamo relativo alle attività oggetto del presente Accordo, il Responsabile del trattamento:  </w:t>
      </w:r>
    </w:p>
    <w:p>
      <w:pPr>
        <w:pStyle w:val="Normal"/>
        <w:widowControl w:val="false"/>
        <w:numPr>
          <w:ilvl w:val="0"/>
          <w:numId w:val="8"/>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avverte, prontamente ed in forma scritta, l’Amministrazione regionale del Reclamo; </w:t>
      </w:r>
    </w:p>
    <w:p>
      <w:pPr>
        <w:pStyle w:val="Normal"/>
        <w:widowControl w:val="false"/>
        <w:numPr>
          <w:ilvl w:val="0"/>
          <w:numId w:val="8"/>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non fornisce dettagli al reclamante senza la preventiva interazione con l’Amministrazione regionale;</w:t>
      </w:r>
    </w:p>
    <w:p>
      <w:pPr>
        <w:pStyle w:val="Normal"/>
        <w:widowControl w:val="false"/>
        <w:numPr>
          <w:ilvl w:val="0"/>
          <w:numId w:val="8"/>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 xml:space="preserve">non transige la controversia senza il previo consenso scritto dell’Amministrazione regionale; </w:t>
      </w:r>
    </w:p>
    <w:p>
      <w:pPr>
        <w:pStyle w:val="Normal"/>
        <w:widowControl w:val="false"/>
        <w:numPr>
          <w:ilvl w:val="0"/>
          <w:numId w:val="8"/>
        </w:numPr>
        <w:suppressAutoHyphens w:val="true"/>
        <w:spacing w:lineRule="auto" w:line="240" w:before="120" w:after="120"/>
        <w:ind w:left="720" w:right="-82" w:hanging="36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fornisce alla stessa tutta l'assistenza che potrebbe ragionevolmente richiedere nella gestione del reclamo.</w:t>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Letto, confermato e sottoscritto digitalmente ai sensi dell’art. 15 comma 2 bis della Legge 241/90 e successive modifiche.</w:t>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Per la Regione Emilia-Romagna   </w:t>
        <w:tab/>
        <w:t>Per . . . . . . . . . . . . .</w:t>
      </w:r>
    </w:p>
    <w:p>
      <w:pPr>
        <w:pStyle w:val="Normal"/>
        <w:widowControl w:val="false"/>
        <w:suppressAutoHyphens w:val="true"/>
        <w:spacing w:lineRule="auto" w:line="276" w:before="120" w:after="120"/>
        <w:ind w:right="-82" w:hanging="0"/>
        <w:jc w:val="both"/>
        <w:textAlignment w:val="baseline"/>
        <w:rPr>
          <w:rFonts w:ascii="Courier New" w:hAnsi="Courier New" w:eastAsia="SimSun" w:cs="Courier New"/>
          <w:kern w:val="2"/>
          <w:sz w:val="24"/>
          <w:szCs w:val="24"/>
        </w:rPr>
      </w:pPr>
      <w:r>
        <w:rPr>
          <w:rFonts w:eastAsia="SimSun" w:cs="Courier New" w:ascii="Courier New" w:hAnsi="Courier New"/>
          <w:kern w:val="2"/>
          <w:sz w:val="24"/>
          <w:szCs w:val="24"/>
        </w:rPr>
        <w:t xml:space="preserve">Il Dirigente regionale </w:t>
        <w:tab/>
        <w:tab/>
        <w:tab/>
        <w:t>Il Legale rappresentante</w:t>
      </w:r>
    </w:p>
    <w:p>
      <w:pPr>
        <w:pStyle w:val="Normal"/>
        <w:widowControl w:val="false"/>
        <w:suppressAutoHyphens w:val="true"/>
        <w:spacing w:lineRule="atLeast" w:line="200" w:before="0" w:after="200"/>
        <w:jc w:val="right"/>
        <w:textAlignment w:val="baseline"/>
        <w:rPr>
          <w:rFonts w:ascii="Times New Roman" w:hAnsi="Times New Roman" w:eastAsia="SimSun" w:cs="Times New Roman"/>
          <w:b/>
          <w:b/>
          <w:bCs/>
          <w:kern w:val="2"/>
          <w:sz w:val="24"/>
          <w:szCs w:val="24"/>
        </w:rPr>
      </w:pPr>
      <w:r>
        <w:rPr>
          <w:rFonts w:eastAsia="SimSun" w:cs="Times New Roman" w:ascii="Times New Roman" w:hAnsi="Times New Roman"/>
          <w:b/>
          <w:bCs/>
          <w:kern w:val="2"/>
          <w:sz w:val="24"/>
          <w:szCs w:val="24"/>
        </w:rPr>
      </w:r>
      <w:r>
        <w:br w:type="page"/>
      </w:r>
    </w:p>
    <w:p>
      <w:pPr>
        <w:pStyle w:val="Normal"/>
        <w:widowControl w:val="false"/>
        <w:suppressAutoHyphens w:val="true"/>
        <w:spacing w:lineRule="auto" w:line="276" w:before="120" w:after="120"/>
        <w:ind w:right="-82" w:hanging="0"/>
        <w:jc w:val="center"/>
        <w:textAlignment w:val="baseline"/>
        <w:rPr>
          <w:rFonts w:ascii="Courier New" w:hAnsi="Courier New" w:eastAsia="SimSun" w:cs="Tahoma"/>
          <w:b/>
          <w:b/>
          <w:bCs/>
          <w:kern w:val="2"/>
          <w:sz w:val="24"/>
          <w:szCs w:val="24"/>
        </w:rPr>
      </w:pPr>
      <w:r>
        <w:rPr>
          <w:rFonts w:eastAsia="SimSun" w:cs="Tahoma" w:ascii="Courier New" w:hAnsi="Courier New"/>
          <w:b/>
          <w:bCs/>
          <w:kern w:val="2"/>
          <w:sz w:val="24"/>
          <w:szCs w:val="24"/>
        </w:rPr>
        <w:t>GLOSSARIO</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 xml:space="preserve">Garante per la protezione dei dati personali”: è l’autorità di controllo responsabile per la protezione dei dati personali in Italia;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Dati personali ”: qualsiasi informazione riguardante una persona fisica identificata o identificabile («interessato»); si considera identificabile la persona fisica che può essere identificata, direttamente o indirettamente, con particolare riferimento a un identificativo come il nome, un numero di identificazione, dati relativi all'ubicazione, un identificativo online o a uno o più elementi caratteristici della sua identità fisica, fisiologica, genetica, psichica, economica, culturale o sociale;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 xml:space="preserve">GDPR” o “Regolamento”: si intende il Regolamento UE 2016/679 sulla protezione delle persone fisiche relativamente al trattamento dei dati personali e della loro libera circolazione (General Data Protection Regulation) che sarà direttamente applicabile dal 25 maggio 2018;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 xml:space="preserve">Normativa Applicabile”: si intende l’insieme delle norme rilevanti in materia protezione dei dati personali, incluso il Regolamento Privacy UE 2016/679 (GDPR) ed ogni provvedimento del Garante per la protezione dei dati personali e del WP Art. 29.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 xml:space="preserve">Appendice Security”: consiste nelle misure di sicurezza che il Titolare determina assicurando un livello minimo di sicurezza, e che possono essere aggiornate ed implementate dal Titolare, di volta in volta, in conformità alle previsioni del presente Accordo;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 xml:space="preserve">Reclamo”: si intende ogni azione, reclamo, segnalazione presentata nei confronti del Titolare o di un Suo Responsabile del trattamento;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 xml:space="preserve">Titolare del Trattamento”: la persona fisica o giuridica, l'autorità pubblica, il servizio o altro organismo che, singolarmente o insieme ad altri, determina le finalità e i mezzi del trattamento di dati personali; quando le finalità e i mezzi di tale trattamento sono determinati dal diritto dell'Unione o degli Stati membri, il titolare del trattamento o i criteri specifici applicabili alla sua designazione possono essere stabiliti dal diritto dell'Unione o degli Stati membri;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 xml:space="preserve">Trattamento”: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Responsabile del trattamento”: la persona fisica o giuridica, l'autorità pubblica, il servizio o altro organismo che tratta dati personali per conto del titolare del trattamento</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t>“</w:t>
      </w:r>
      <w:r>
        <w:rPr>
          <w:rFonts w:eastAsia="SimSun" w:cs="Tahoma" w:ascii="Courier New" w:hAnsi="Courier New"/>
          <w:kern w:val="2"/>
          <w:sz w:val="24"/>
          <w:szCs w:val="24"/>
        </w:rPr>
        <w:t>Pseudonimizzazione”: il trattamento dei dati personali in modo tale che i dati personali non possano più essere attribuiti a un interessato specifico senza l'utilizzo di informazioni aggiuntive, a condizione che tali informazioni aggiuntive siano conservate separatamente e soggette a misure tecniche e organizzative intese a garantire che tali dati personali non siano attribuiti a una persona fisica identificata o identificabile.</w:t>
      </w:r>
    </w:p>
    <w:p>
      <w:pPr>
        <w:pStyle w:val="Normal"/>
        <w:widowControl w:val="false"/>
        <w:suppressAutoHyphens w:val="true"/>
        <w:spacing w:lineRule="auto" w:line="276" w:before="120" w:after="120"/>
        <w:ind w:right="-82" w:hanging="0"/>
        <w:jc w:val="both"/>
        <w:textAlignment w:val="baseline"/>
        <w:rPr>
          <w:rFonts w:ascii="Courier New" w:hAnsi="Courier New" w:eastAsia="SimSun" w:cs="Tahoma"/>
          <w:kern w:val="2"/>
          <w:sz w:val="24"/>
          <w:szCs w:val="24"/>
        </w:rPr>
      </w:pPr>
      <w:r>
        <w:rPr>
          <w:rFonts w:eastAsia="SimSun" w:cs="Tahoma" w:ascii="Courier New" w:hAnsi="Courier New"/>
          <w:kern w:val="2"/>
          <w:sz w:val="24"/>
          <w:szCs w:val="24"/>
        </w:rPr>
      </w:r>
    </w:p>
    <w:p>
      <w:pPr>
        <w:pStyle w:val="Normal"/>
        <w:widowControl/>
        <w:bidi w:val="0"/>
        <w:spacing w:lineRule="auto" w:line="259" w:before="0" w:after="160"/>
        <w:jc w:val="left"/>
        <w:rPr/>
      </w:pPr>
      <w:r>
        <w:rPr/>
      </w:r>
    </w:p>
    <w:sectPr>
      <w:headerReference w:type="default" r:id="rId5"/>
      <w:footerReference w:type="default" r:id="rId6"/>
      <w:type w:val="nextPage"/>
      <w:pgSz w:w="11906" w:h="16838"/>
      <w:pgMar w:left="1286" w:right="1134" w:header="720" w:top="1417" w:footer="720" w:bottom="1134"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Courier New">
    <w:charset w:val="01"/>
    <w:family w:val="swiss"/>
    <w:pitch w:val="default"/>
  </w:font>
  <w:font w:name="OpenSymbol">
    <w:altName w:val="Arial Unicode MS"/>
    <w:charset w:val="01"/>
    <w:family w:val="swiss"/>
    <w:pitch w:val="default"/>
  </w:font>
  <w:font w:name="Trebuchet MS">
    <w:charset w:val="01"/>
    <w:family w:val="swiss"/>
    <w:pitch w:val="default"/>
  </w:font>
  <w:font w:name="Times New Roman">
    <w:charset w:val="01"/>
    <w:family w:val="swiss"/>
    <w:pitch w:val="default"/>
  </w:font>
  <w:font w:name="Arial">
    <w:charset w:val="01"/>
    <w:family w:val="swiss"/>
    <w:pitch w:val="variable"/>
  </w:font>
  <w:font w:name="Courier New">
    <w:charset w:val="01"/>
    <w:family w:val="modern"/>
    <w:pitch w:val="fixed"/>
  </w:font>
  <w:font w:name="Wingdings">
    <w:charset w:val="02"/>
    <w:family w:val="auto"/>
    <w:pitch w:val="variable"/>
  </w:font>
  <w:font w:name="Calibri Light">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360"/>
        </w:tabs>
        <w:ind w:left="360" w:hanging="360"/>
      </w:pPr>
      <w:rPr>
        <w:rFonts w:ascii="Arial" w:hAnsi="Arial" w:cs="Arial" w:hint="default"/>
        <w:sz w:val="24"/>
        <w:b/>
        <w:szCs w:val="24"/>
        <w:rFonts w:cs="Courier Ne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lowerLetter"/>
      <w:lvlText w:val="%1)"/>
      <w:lvlJc w:val="left"/>
      <w:pPr>
        <w:ind w:left="644" w:hanging="360"/>
      </w:pPr>
      <w:rPr>
        <w:sz w:val="24"/>
        <w:b w:val="false"/>
        <w:rFonts w:ascii="Courier New" w:hAnsi="Courier Ne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bullet"/>
      <w:lvlText w:val="-"/>
      <w:lvlJc w:val="left"/>
      <w:pPr>
        <w:ind w:left="720" w:hanging="360"/>
      </w:pPr>
      <w:rPr>
        <w:rFonts w:ascii="Arial" w:hAnsi="Arial" w:cs="Arial" w:hint="default"/>
        <w:sz w:val="24"/>
        <w:szCs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decimal"/>
      <w:lvlText w:val="%1)"/>
      <w:lvlJc w:val="left"/>
      <w:pPr>
        <w:ind w:left="360" w:hanging="360"/>
      </w:pPr>
    </w:lvl>
    <w:lvl w:ilvl="1">
      <w:start w:val="1"/>
      <w:numFmt w:val="bullet"/>
      <w:lvlText w:val=""/>
      <w:lvlJc w:val="left"/>
      <w:pPr>
        <w:ind w:left="720" w:hanging="360"/>
      </w:pPr>
      <w:rPr>
        <w:rFonts w:ascii="Symbol" w:hAnsi="Symbol" w:cs="Symbol" w:hint="default"/>
        <w:sz w:val="24"/>
        <w:rFonts w:cs="Symbol"/>
      </w:rPr>
    </w:lvl>
    <w:lvl w:ilvl="2">
      <w:start w:val="1"/>
      <w:numFmt w:val="bullet"/>
      <w:lvlText w:val=""/>
      <w:lvlJc w:val="left"/>
      <w:pPr>
        <w:ind w:left="1080" w:hanging="360"/>
      </w:pPr>
      <w:rPr>
        <w:rFonts w:ascii="Symbol" w:hAnsi="Symbol" w:cs="Symbol" w:hint="default"/>
        <w:rFonts w:cs="Symbo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lvl w:ilvl="0">
      <w:start w:val="1"/>
      <w:numFmt w:val="bullet"/>
      <w:lvlText w:val="-"/>
      <w:lvlJc w:val="left"/>
      <w:pPr>
        <w:ind w:left="720" w:hanging="360"/>
      </w:pPr>
      <w:rPr>
        <w:rFonts w:ascii="Arial" w:hAnsi="Arial" w:cs="Arial" w:hint="default"/>
        <w:sz w:val="24"/>
        <w:szCs w:val="24"/>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lvl w:ilvl="0">
      <w:start w:val="1"/>
      <w:numFmt w:val="bullet"/>
      <w:lvlText w:val="-"/>
      <w:lvlJc w:val="left"/>
      <w:pPr>
        <w:ind w:left="1429" w:hanging="360"/>
      </w:pPr>
      <w:rPr>
        <w:rFonts w:ascii="Arial" w:hAnsi="Arial" w:cs="Arial" w:hint="default"/>
        <w:sz w:val="24"/>
        <w:rFonts w:cs="Arial"/>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Fonts w:cs="Wingdings"/>
      </w:rPr>
    </w:lvl>
    <w:lvl w:ilvl="3">
      <w:start w:val="1"/>
      <w:numFmt w:val="bullet"/>
      <w:lvlText w:val=""/>
      <w:lvlJc w:val="left"/>
      <w:pPr>
        <w:ind w:left="3589" w:hanging="360"/>
      </w:pPr>
      <w:rPr>
        <w:rFonts w:ascii="Symbol" w:hAnsi="Symbol" w:cs="Symbol" w:hint="default"/>
        <w:rFonts w:cs="Symbol"/>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Fonts w:cs="Wingdings"/>
      </w:rPr>
    </w:lvl>
    <w:lvl w:ilvl="6">
      <w:start w:val="1"/>
      <w:numFmt w:val="bullet"/>
      <w:lvlText w:val=""/>
      <w:lvlJc w:val="left"/>
      <w:pPr>
        <w:ind w:left="5749" w:hanging="360"/>
      </w:pPr>
      <w:rPr>
        <w:rFonts w:ascii="Symbol" w:hAnsi="Symbol" w:cs="Symbol" w:hint="default"/>
        <w:rFonts w:cs="Symbol"/>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Fonts w:cs="Wingdings"/>
      </w:rPr>
    </w:lvl>
  </w:abstractNum>
  <w:abstractNum w:abstractNumId="10">
    <w:lvl w:ilvl="0">
      <w:start w:val="1"/>
      <w:numFmt w:val="bullet"/>
      <w:lvlText w:val="-"/>
      <w:lvlJc w:val="left"/>
      <w:pPr>
        <w:ind w:left="1080" w:hanging="360"/>
      </w:pPr>
      <w:rPr>
        <w:rFonts w:ascii="Calibri Light" w:hAnsi="Calibri Light" w:cs="Calibri Light" w:hint="default"/>
        <w:sz w:val="24"/>
        <w:rFonts w:cs="Calibri Light"/>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Fonts w:cs="Wingdings"/>
      </w:rPr>
    </w:lvl>
    <w:lvl w:ilvl="3">
      <w:start w:val="1"/>
      <w:numFmt w:val="bullet"/>
      <w:lvlText w:val=""/>
      <w:lvlJc w:val="left"/>
      <w:pPr>
        <w:ind w:left="3240" w:hanging="360"/>
      </w:pPr>
      <w:rPr>
        <w:rFonts w:ascii="Symbol" w:hAnsi="Symbol" w:cs="Symbol" w:hint="default"/>
        <w:rFonts w:cs="Symbol"/>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Fonts w:cs="Wingdings"/>
      </w:rPr>
    </w:lvl>
    <w:lvl w:ilvl="6">
      <w:start w:val="1"/>
      <w:numFmt w:val="bullet"/>
      <w:lvlText w:val=""/>
      <w:lvlJc w:val="left"/>
      <w:pPr>
        <w:ind w:left="5400" w:hanging="360"/>
      </w:pPr>
      <w:rPr>
        <w:rFonts w:ascii="Symbol" w:hAnsi="Symbol" w:cs="Symbol" w:hint="default"/>
        <w:rFonts w:cs="Symbol"/>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Fonts w:cs="Wingdings"/>
      </w:rPr>
    </w:lvl>
  </w:abstractNum>
  <w:abstractNum w:abstractNumId="11">
    <w:lvl w:ilvl="0">
      <w:start w:val="1"/>
      <w:numFmt w:val="bullet"/>
      <w:lvlText w:val="-"/>
      <w:lvlJc w:val="left"/>
      <w:pPr>
        <w:ind w:left="1429" w:hanging="360"/>
      </w:pPr>
      <w:rPr>
        <w:rFonts w:ascii="Calibri Light" w:hAnsi="Calibri Light" w:cs="Calibri Light" w:hint="default"/>
        <w:sz w:val="24"/>
        <w:rFonts w:cs="Calibri Light"/>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Fonts w:cs="Wingdings"/>
      </w:rPr>
    </w:lvl>
    <w:lvl w:ilvl="3">
      <w:start w:val="1"/>
      <w:numFmt w:val="bullet"/>
      <w:lvlText w:val=""/>
      <w:lvlJc w:val="left"/>
      <w:pPr>
        <w:ind w:left="3589" w:hanging="360"/>
      </w:pPr>
      <w:rPr>
        <w:rFonts w:ascii="Symbol" w:hAnsi="Symbol" w:cs="Symbol" w:hint="default"/>
        <w:rFonts w:cs="Symbol"/>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Fonts w:cs="Wingdings"/>
      </w:rPr>
    </w:lvl>
    <w:lvl w:ilvl="6">
      <w:start w:val="1"/>
      <w:numFmt w:val="bullet"/>
      <w:lvlText w:val=""/>
      <w:lvlJc w:val="left"/>
      <w:pPr>
        <w:ind w:left="5749" w:hanging="360"/>
      </w:pPr>
      <w:rPr>
        <w:rFonts w:ascii="Symbol" w:hAnsi="Symbol" w:cs="Symbol" w:hint="default"/>
        <w:rFonts w:cs="Symbol"/>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Fonts w:cs="Wingdings"/>
      </w:rPr>
    </w:lvl>
  </w:abstractNum>
  <w:abstractNum w:abstractNumId="12">
    <w:lvl w:ilvl="0">
      <w:start w:val="1"/>
      <w:numFmt w:val="bullet"/>
      <w:lvlText w:val="-"/>
      <w:lvlJc w:val="left"/>
      <w:pPr>
        <w:ind w:left="720" w:hanging="360"/>
      </w:pPr>
      <w:rPr>
        <w:rFonts w:ascii="Calibri Light" w:hAnsi="Calibri Light" w:cs="Calibri Light" w:hint="default"/>
        <w:sz w:val="24"/>
        <w:rFonts w:cs="Calibri Ligh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3">
    <w:lvl w:ilvl="0">
      <w:start w:val="1"/>
      <w:numFmt w:val="bullet"/>
      <w:lvlText w:val="-"/>
      <w:lvlJc w:val="left"/>
      <w:pPr>
        <w:ind w:left="1571" w:hanging="360"/>
      </w:pPr>
      <w:rPr>
        <w:rFonts w:ascii="Calibri Light" w:hAnsi="Calibri Light" w:cs="Calibri Light" w:hint="default"/>
        <w:sz w:val="24"/>
        <w:rFonts w:cs="Calibri Light"/>
      </w:rPr>
    </w:lvl>
    <w:lvl w:ilvl="1">
      <w:start w:val="1"/>
      <w:numFmt w:val="bullet"/>
      <w:lvlText w:val="o"/>
      <w:lvlJc w:val="left"/>
      <w:pPr>
        <w:ind w:left="2291" w:hanging="360"/>
      </w:pPr>
      <w:rPr>
        <w:rFonts w:ascii="Courier New" w:hAnsi="Courier New" w:cs="Courier New" w:hint="default"/>
        <w:rFonts w:cs="Courier New"/>
      </w:rPr>
    </w:lvl>
    <w:lvl w:ilvl="2">
      <w:start w:val="1"/>
      <w:numFmt w:val="bullet"/>
      <w:lvlText w:val=""/>
      <w:lvlJc w:val="left"/>
      <w:pPr>
        <w:ind w:left="3011" w:hanging="360"/>
      </w:pPr>
      <w:rPr>
        <w:rFonts w:ascii="Wingdings" w:hAnsi="Wingdings" w:cs="Wingdings" w:hint="default"/>
        <w:rFonts w:cs="Wingdings"/>
      </w:rPr>
    </w:lvl>
    <w:lvl w:ilvl="3">
      <w:start w:val="1"/>
      <w:numFmt w:val="bullet"/>
      <w:lvlText w:val=""/>
      <w:lvlJc w:val="left"/>
      <w:pPr>
        <w:ind w:left="3731" w:hanging="360"/>
      </w:pPr>
      <w:rPr>
        <w:rFonts w:ascii="Symbol" w:hAnsi="Symbol" w:cs="Symbol" w:hint="default"/>
        <w:rFonts w:cs="Symbol"/>
      </w:rPr>
    </w:lvl>
    <w:lvl w:ilvl="4">
      <w:start w:val="1"/>
      <w:numFmt w:val="bullet"/>
      <w:lvlText w:val="o"/>
      <w:lvlJc w:val="left"/>
      <w:pPr>
        <w:ind w:left="4451" w:hanging="360"/>
      </w:pPr>
      <w:rPr>
        <w:rFonts w:ascii="Courier New" w:hAnsi="Courier New" w:cs="Courier New" w:hint="default"/>
        <w:rFonts w:cs="Courier New"/>
      </w:rPr>
    </w:lvl>
    <w:lvl w:ilvl="5">
      <w:start w:val="1"/>
      <w:numFmt w:val="bullet"/>
      <w:lvlText w:val=""/>
      <w:lvlJc w:val="left"/>
      <w:pPr>
        <w:ind w:left="5171" w:hanging="360"/>
      </w:pPr>
      <w:rPr>
        <w:rFonts w:ascii="Wingdings" w:hAnsi="Wingdings" w:cs="Wingdings" w:hint="default"/>
        <w:rFonts w:cs="Wingdings"/>
      </w:rPr>
    </w:lvl>
    <w:lvl w:ilvl="6">
      <w:start w:val="1"/>
      <w:numFmt w:val="bullet"/>
      <w:lvlText w:val=""/>
      <w:lvlJc w:val="left"/>
      <w:pPr>
        <w:ind w:left="5891" w:hanging="360"/>
      </w:pPr>
      <w:rPr>
        <w:rFonts w:ascii="Symbol" w:hAnsi="Symbol" w:cs="Symbol" w:hint="default"/>
        <w:rFonts w:cs="Symbol"/>
      </w:rPr>
    </w:lvl>
    <w:lvl w:ilvl="7">
      <w:start w:val="1"/>
      <w:numFmt w:val="bullet"/>
      <w:lvlText w:val="o"/>
      <w:lvlJc w:val="left"/>
      <w:pPr>
        <w:ind w:left="6611" w:hanging="360"/>
      </w:pPr>
      <w:rPr>
        <w:rFonts w:ascii="Courier New" w:hAnsi="Courier New" w:cs="Courier New" w:hint="default"/>
        <w:rFonts w:cs="Courier New"/>
      </w:rPr>
    </w:lvl>
    <w:lvl w:ilvl="8">
      <w:start w:val="1"/>
      <w:numFmt w:val="bullet"/>
      <w:lvlText w:val=""/>
      <w:lvlJc w:val="left"/>
      <w:pPr>
        <w:ind w:left="7331" w:hanging="360"/>
      </w:pPr>
      <w:rPr>
        <w:rFonts w:ascii="Wingdings" w:hAnsi="Wingdings" w:cs="Wingdings" w:hint="default"/>
        <w:rFonts w:cs="Wingdings"/>
      </w:rPr>
    </w:lvl>
  </w:abstractNum>
  <w:abstractNum w:abstractNumId="14">
    <w:lvl w:ilvl="0">
      <w:start w:val="1"/>
      <w:numFmt w:val="bullet"/>
      <w:lvlText w:val="-"/>
      <w:lvlJc w:val="left"/>
      <w:pPr>
        <w:ind w:left="1429" w:hanging="360"/>
      </w:pPr>
      <w:rPr>
        <w:rFonts w:ascii="Calibri Light" w:hAnsi="Calibri Light" w:cs="Calibri Light" w:hint="default"/>
        <w:sz w:val="24"/>
        <w:rFonts w:cs="Calibri Light"/>
      </w:rPr>
    </w:lvl>
    <w:lvl w:ilvl="1">
      <w:start w:val="1"/>
      <w:numFmt w:val="bullet"/>
      <w:lvlText w:val="o"/>
      <w:lvlJc w:val="left"/>
      <w:pPr>
        <w:ind w:left="2149" w:hanging="360"/>
      </w:pPr>
      <w:rPr>
        <w:rFonts w:ascii="Courier New" w:hAnsi="Courier New" w:cs="Courier New" w:hint="default"/>
        <w:rFonts w:cs="Courier New"/>
      </w:rPr>
    </w:lvl>
    <w:lvl w:ilvl="2">
      <w:start w:val="1"/>
      <w:numFmt w:val="bullet"/>
      <w:lvlText w:val=""/>
      <w:lvlJc w:val="left"/>
      <w:pPr>
        <w:ind w:left="2869" w:hanging="360"/>
      </w:pPr>
      <w:rPr>
        <w:rFonts w:ascii="Wingdings" w:hAnsi="Wingdings" w:cs="Wingdings" w:hint="default"/>
        <w:rFonts w:cs="Wingdings"/>
      </w:rPr>
    </w:lvl>
    <w:lvl w:ilvl="3">
      <w:start w:val="1"/>
      <w:numFmt w:val="bullet"/>
      <w:lvlText w:val=""/>
      <w:lvlJc w:val="left"/>
      <w:pPr>
        <w:ind w:left="3589" w:hanging="360"/>
      </w:pPr>
      <w:rPr>
        <w:rFonts w:ascii="Symbol" w:hAnsi="Symbol" w:cs="Symbol" w:hint="default"/>
        <w:rFonts w:cs="Symbol"/>
      </w:rPr>
    </w:lvl>
    <w:lvl w:ilvl="4">
      <w:start w:val="1"/>
      <w:numFmt w:val="bullet"/>
      <w:lvlText w:val="o"/>
      <w:lvlJc w:val="left"/>
      <w:pPr>
        <w:ind w:left="4309" w:hanging="360"/>
      </w:pPr>
      <w:rPr>
        <w:rFonts w:ascii="Courier New" w:hAnsi="Courier New" w:cs="Courier New" w:hint="default"/>
        <w:rFonts w:cs="Courier New"/>
      </w:rPr>
    </w:lvl>
    <w:lvl w:ilvl="5">
      <w:start w:val="1"/>
      <w:numFmt w:val="bullet"/>
      <w:lvlText w:val=""/>
      <w:lvlJc w:val="left"/>
      <w:pPr>
        <w:ind w:left="5029" w:hanging="360"/>
      </w:pPr>
      <w:rPr>
        <w:rFonts w:ascii="Wingdings" w:hAnsi="Wingdings" w:cs="Wingdings" w:hint="default"/>
        <w:rFonts w:cs="Wingdings"/>
      </w:rPr>
    </w:lvl>
    <w:lvl w:ilvl="6">
      <w:start w:val="1"/>
      <w:numFmt w:val="bullet"/>
      <w:lvlText w:val=""/>
      <w:lvlJc w:val="left"/>
      <w:pPr>
        <w:ind w:left="5749" w:hanging="360"/>
      </w:pPr>
      <w:rPr>
        <w:rFonts w:ascii="Symbol" w:hAnsi="Symbol" w:cs="Symbol" w:hint="default"/>
        <w:rFonts w:cs="Symbol"/>
      </w:rPr>
    </w:lvl>
    <w:lvl w:ilvl="7">
      <w:start w:val="1"/>
      <w:numFmt w:val="bullet"/>
      <w:lvlText w:val="o"/>
      <w:lvlJc w:val="left"/>
      <w:pPr>
        <w:ind w:left="6469" w:hanging="360"/>
      </w:pPr>
      <w:rPr>
        <w:rFonts w:ascii="Courier New" w:hAnsi="Courier New" w:cs="Courier New" w:hint="default"/>
        <w:rFonts w:cs="Courier New"/>
      </w:rPr>
    </w:lvl>
    <w:lvl w:ilvl="8">
      <w:start w:val="1"/>
      <w:numFmt w:val="bullet"/>
      <w:lvlText w:val=""/>
      <w:lvlJc w:val="left"/>
      <w:pPr>
        <w:ind w:left="7189" w:hanging="360"/>
      </w:pPr>
      <w:rPr>
        <w:rFonts w:ascii="Wingdings" w:hAnsi="Wingdings" w:cs="Wingdings" w:hint="default"/>
        <w:rFonts w:cs="Wingdings"/>
      </w:rPr>
    </w:lvl>
  </w:abstractNum>
  <w:abstractNum w:abstractNumId="1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720"/>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PidipaginaCarattere" w:customStyle="1">
    <w:name w:val="Piè di pagina Carattere"/>
    <w:basedOn w:val="DefaultParagraphFont"/>
    <w:link w:val="Pidipagina"/>
    <w:uiPriority w:val="99"/>
    <w:semiHidden/>
    <w:qFormat/>
    <w:rsid w:val="0033262f"/>
    <w:rPr/>
  </w:style>
  <w:style w:type="character" w:styleId="IntestazioneCarattere" w:customStyle="1">
    <w:name w:val="Intestazione Carattere"/>
    <w:basedOn w:val="DefaultParagraphFont"/>
    <w:link w:val="Intestazione"/>
    <w:uiPriority w:val="99"/>
    <w:semiHidden/>
    <w:qFormat/>
    <w:rsid w:val="0033262f"/>
    <w:rPr/>
  </w:style>
  <w:style w:type="character" w:styleId="ListLabel1" w:customStyle="1">
    <w:name w:val="ListLabel 1"/>
    <w:qFormat/>
    <w:rPr>
      <w:rFonts w:ascii="Courier New" w:hAnsi="Courier New" w:cs="Courier New"/>
      <w:b/>
      <w:sz w:val="24"/>
      <w:szCs w:val="24"/>
    </w:rPr>
  </w:style>
  <w:style w:type="character" w:styleId="ListLabel2" w:customStyle="1">
    <w:name w:val="ListLabel 2"/>
    <w:qFormat/>
    <w:rPr>
      <w:rFonts w:ascii="Courier New" w:hAnsi="Courier New"/>
      <w:b w:val="false"/>
      <w:sz w:val="24"/>
    </w:rPr>
  </w:style>
  <w:style w:type="character" w:styleId="ListLabel3" w:customStyle="1">
    <w:name w:val="ListLabel 3"/>
    <w:qFormat/>
    <w:rPr>
      <w:rFonts w:ascii="Courier New" w:hAnsi="Courier New" w:cs="Courier New"/>
      <w:sz w:val="24"/>
      <w:szCs w:val="24"/>
    </w:rPr>
  </w:style>
  <w:style w:type="character" w:styleId="ListLabel4" w:customStyle="1">
    <w:name w:val="ListLabel 4"/>
    <w:qFormat/>
    <w:rPr>
      <w:rFonts w:cs="Courier New"/>
    </w:rPr>
  </w:style>
  <w:style w:type="character" w:styleId="ListLabel5" w:customStyle="1">
    <w:name w:val="ListLabel 5"/>
    <w:qFormat/>
    <w:rPr>
      <w:rFonts w:cs="Courier New"/>
    </w:rPr>
  </w:style>
  <w:style w:type="character" w:styleId="ListLabel6" w:customStyle="1">
    <w:name w:val="ListLabel 6"/>
    <w:qFormat/>
    <w:rPr>
      <w:rFonts w:cs="Courier New"/>
    </w:rPr>
  </w:style>
  <w:style w:type="character" w:styleId="ListLabel7" w:customStyle="1">
    <w:name w:val="ListLabel 7"/>
    <w:qFormat/>
    <w:rPr>
      <w:rFonts w:ascii="Courier New" w:hAnsi="Courier New" w:cs="Courier New"/>
      <w:sz w:val="24"/>
      <w:szCs w:val="24"/>
    </w:rPr>
  </w:style>
  <w:style w:type="character" w:styleId="ListLabel8" w:customStyle="1">
    <w:name w:val="ListLabel 8"/>
    <w:qFormat/>
    <w:rPr>
      <w:rFonts w:cs="Courier New"/>
    </w:rPr>
  </w:style>
  <w:style w:type="character" w:styleId="ListLabel9" w:customStyle="1">
    <w:name w:val="ListLabel 9"/>
    <w:qFormat/>
    <w:rPr>
      <w:rFonts w:cs="Courier New"/>
    </w:rPr>
  </w:style>
  <w:style w:type="character" w:styleId="ListLabel10" w:customStyle="1">
    <w:name w:val="ListLabel 10"/>
    <w:qFormat/>
    <w:rPr>
      <w:rFonts w:cs="Courier New"/>
    </w:rPr>
  </w:style>
  <w:style w:type="character" w:styleId="ListLabel11" w:customStyle="1">
    <w:name w:val="ListLabel 11"/>
    <w:qFormat/>
    <w:rPr>
      <w:rFonts w:eastAsia="Times New Roman" w:cs="Calibri Light"/>
    </w:rPr>
  </w:style>
  <w:style w:type="character" w:styleId="ListLabel12" w:customStyle="1">
    <w:name w:val="ListLabel 12"/>
    <w:qFormat/>
    <w:rPr>
      <w:rFonts w:cs="Courier New"/>
    </w:rPr>
  </w:style>
  <w:style w:type="character" w:styleId="ListLabel13" w:customStyle="1">
    <w:name w:val="ListLabel 13"/>
    <w:qFormat/>
    <w:rPr>
      <w:rFonts w:cs="Courier New"/>
    </w:rPr>
  </w:style>
  <w:style w:type="character" w:styleId="ListLabel14" w:customStyle="1">
    <w:name w:val="ListLabel 14"/>
    <w:qFormat/>
    <w:rPr>
      <w:rFonts w:cs="Courier New"/>
    </w:rPr>
  </w:style>
  <w:style w:type="character" w:styleId="ListLabel15" w:customStyle="1">
    <w:name w:val="ListLabel 15"/>
    <w:qFormat/>
    <w:rPr>
      <w:rFonts w:cs="Courier New"/>
    </w:rPr>
  </w:style>
  <w:style w:type="character" w:styleId="ListLabel16" w:customStyle="1">
    <w:name w:val="ListLabel 16"/>
    <w:qFormat/>
    <w:rPr>
      <w:rFonts w:cs="Courier New"/>
    </w:rPr>
  </w:style>
  <w:style w:type="character" w:styleId="ListLabel17" w:customStyle="1">
    <w:name w:val="ListLabel 17"/>
    <w:qFormat/>
    <w:rPr>
      <w:rFonts w:cs="Courier New"/>
    </w:rPr>
  </w:style>
  <w:style w:type="character" w:styleId="ListLabel18" w:customStyle="1">
    <w:name w:val="ListLabel 18"/>
    <w:qFormat/>
    <w:rPr>
      <w:rFonts w:cs="Courier New"/>
    </w:rPr>
  </w:style>
  <w:style w:type="character" w:styleId="ListLabel19" w:customStyle="1">
    <w:name w:val="ListLabel 19"/>
    <w:qFormat/>
    <w:rPr>
      <w:rFonts w:cs="Courier New"/>
    </w:rPr>
  </w:style>
  <w:style w:type="character" w:styleId="ListLabel20" w:customStyle="1">
    <w:name w:val="ListLabel 20"/>
    <w:qFormat/>
    <w:rPr>
      <w:rFonts w:cs="Courier New"/>
    </w:rPr>
  </w:style>
  <w:style w:type="character" w:styleId="ListLabel21" w:customStyle="1">
    <w:name w:val="ListLabel 21"/>
    <w:qFormat/>
    <w:rPr>
      <w:rFonts w:eastAsia="Times New Roman" w:cs="Calibri Light"/>
    </w:rPr>
  </w:style>
  <w:style w:type="character" w:styleId="ListLabel22" w:customStyle="1">
    <w:name w:val="ListLabel 22"/>
    <w:qFormat/>
    <w:rPr>
      <w:rFonts w:cs="Courier New"/>
    </w:rPr>
  </w:style>
  <w:style w:type="character" w:styleId="ListLabel23" w:customStyle="1">
    <w:name w:val="ListLabel 23"/>
    <w:qFormat/>
    <w:rPr>
      <w:rFonts w:cs="Courier New"/>
    </w:rPr>
  </w:style>
  <w:style w:type="character" w:styleId="ListLabel24" w:customStyle="1">
    <w:name w:val="ListLabel 24"/>
    <w:qFormat/>
    <w:rPr>
      <w:rFonts w:cs="Courier New"/>
    </w:rPr>
  </w:style>
  <w:style w:type="character" w:styleId="ListLabel25" w:customStyle="1">
    <w:name w:val="ListLabel 25"/>
    <w:qFormat/>
    <w:rPr>
      <w:rFonts w:cs="Courier New"/>
    </w:rPr>
  </w:style>
  <w:style w:type="character" w:styleId="ListLabel26" w:customStyle="1">
    <w:name w:val="ListLabel 26"/>
    <w:qFormat/>
    <w:rPr>
      <w:rFonts w:cs="Courier New"/>
    </w:rPr>
  </w:style>
  <w:style w:type="character" w:styleId="ListLabel27" w:customStyle="1">
    <w:name w:val="ListLabel 27"/>
    <w:qFormat/>
    <w:rPr>
      <w:rFonts w:cs="Courier New"/>
    </w:rPr>
  </w:style>
  <w:style w:type="character" w:styleId="ListLabel28" w:customStyle="1">
    <w:name w:val="ListLabel 28"/>
    <w:qFormat/>
    <w:rPr>
      <w:rFonts w:eastAsia="Times New Roman" w:cs="Calibri Light"/>
    </w:rPr>
  </w:style>
  <w:style w:type="character" w:styleId="ListLabel29" w:customStyle="1">
    <w:name w:val="ListLabel 29"/>
    <w:qFormat/>
    <w:rPr>
      <w:rFonts w:cs="Courier New"/>
    </w:rPr>
  </w:style>
  <w:style w:type="character" w:styleId="ListLabel30" w:customStyle="1">
    <w:name w:val="ListLabel 30"/>
    <w:qFormat/>
    <w:rPr>
      <w:rFonts w:cs="Courier New"/>
    </w:rPr>
  </w:style>
  <w:style w:type="character" w:styleId="ListLabel31" w:customStyle="1">
    <w:name w:val="ListLabel 31"/>
    <w:qFormat/>
    <w:rPr>
      <w:rFonts w:cs="Courier New"/>
    </w:rPr>
  </w:style>
  <w:style w:type="character" w:styleId="ListLabel32" w:customStyle="1">
    <w:name w:val="ListLabel 32"/>
    <w:qFormat/>
    <w:rPr>
      <w:rFonts w:ascii="Courier New" w:hAnsi="Courier New" w:eastAsia="Times New Roman" w:cs="Calibri Light"/>
      <w:sz w:val="24"/>
    </w:rPr>
  </w:style>
  <w:style w:type="character" w:styleId="ListLabel33" w:customStyle="1">
    <w:name w:val="ListLabel 33"/>
    <w:qFormat/>
    <w:rPr>
      <w:rFonts w:cs="Courier New"/>
    </w:rPr>
  </w:style>
  <w:style w:type="character" w:styleId="ListLabel34" w:customStyle="1">
    <w:name w:val="ListLabel 34"/>
    <w:qFormat/>
    <w:rPr>
      <w:rFonts w:cs="Courier New"/>
    </w:rPr>
  </w:style>
  <w:style w:type="character" w:styleId="ListLabel35" w:customStyle="1">
    <w:name w:val="ListLabel 35"/>
    <w:qFormat/>
    <w:rPr>
      <w:rFonts w:cs="Courier New"/>
    </w:rPr>
  </w:style>
  <w:style w:type="character" w:styleId="ListLabel36" w:customStyle="1">
    <w:name w:val="ListLabel 36"/>
    <w:qFormat/>
    <w:rPr>
      <w:rFonts w:eastAsia="Times New Roman" w:cs="Calibri Light"/>
    </w:rPr>
  </w:style>
  <w:style w:type="character" w:styleId="ListLabel37" w:customStyle="1">
    <w:name w:val="ListLabel 37"/>
    <w:qFormat/>
    <w:rPr>
      <w:rFonts w:cs="Courier New"/>
    </w:rPr>
  </w:style>
  <w:style w:type="character" w:styleId="ListLabel38" w:customStyle="1">
    <w:name w:val="ListLabel 38"/>
    <w:qFormat/>
    <w:rPr>
      <w:rFonts w:cs="Courier New"/>
    </w:rPr>
  </w:style>
  <w:style w:type="character" w:styleId="ListLabel39" w:customStyle="1">
    <w:name w:val="ListLabel 39"/>
    <w:qFormat/>
    <w:rPr>
      <w:rFonts w:cs="Courier New"/>
    </w:rPr>
  </w:style>
  <w:style w:type="character" w:styleId="ListLabel40" w:customStyle="1">
    <w:name w:val="ListLabel 40"/>
    <w:qFormat/>
    <w:rPr>
      <w:rFonts w:eastAsia="Times New Roman" w:cs="Calibri Light"/>
    </w:rPr>
  </w:style>
  <w:style w:type="character" w:styleId="ListLabel41" w:customStyle="1">
    <w:name w:val="ListLabel 41"/>
    <w:qFormat/>
    <w:rPr>
      <w:rFonts w:cs="Courier New"/>
    </w:rPr>
  </w:style>
  <w:style w:type="character" w:styleId="ListLabel42" w:customStyle="1">
    <w:name w:val="ListLabel 42"/>
    <w:qFormat/>
    <w:rPr>
      <w:rFonts w:cs="Courier New"/>
    </w:rPr>
  </w:style>
  <w:style w:type="character" w:styleId="ListLabel43" w:customStyle="1">
    <w:name w:val="ListLabel 43"/>
    <w:qFormat/>
    <w:rPr>
      <w:rFonts w:cs="Courier New"/>
    </w:rPr>
  </w:style>
  <w:style w:type="character" w:styleId="ListLabel44" w:customStyle="1">
    <w:name w:val="ListLabel 44"/>
    <w:qFormat/>
    <w:rPr>
      <w:rFonts w:eastAsia="Times New Roman" w:cs="Calibri Light"/>
    </w:rPr>
  </w:style>
  <w:style w:type="character" w:styleId="ListLabel45" w:customStyle="1">
    <w:name w:val="ListLabel 45"/>
    <w:qFormat/>
    <w:rPr>
      <w:rFonts w:cs="Courier New"/>
    </w:rPr>
  </w:style>
  <w:style w:type="character" w:styleId="ListLabel46" w:customStyle="1">
    <w:name w:val="ListLabel 46"/>
    <w:qFormat/>
    <w:rPr>
      <w:rFonts w:cs="Courier New"/>
    </w:rPr>
  </w:style>
  <w:style w:type="character" w:styleId="ListLabel47" w:customStyle="1">
    <w:name w:val="ListLabel 47"/>
    <w:qFormat/>
    <w:rPr>
      <w:rFonts w:cs="Courier New"/>
    </w:rPr>
  </w:style>
  <w:style w:type="character" w:styleId="ListLabel48" w:customStyle="1">
    <w:name w:val="ListLabel 48"/>
    <w:qFormat/>
    <w:rPr>
      <w:rFonts w:ascii="Courier New" w:hAnsi="Courier New" w:eastAsia="Times New Roman" w:cs="Calibri Light"/>
      <w:sz w:val="24"/>
    </w:rPr>
  </w:style>
  <w:style w:type="character" w:styleId="ListLabel49" w:customStyle="1">
    <w:name w:val="ListLabel 49"/>
    <w:qFormat/>
    <w:rPr>
      <w:rFonts w:cs="Courier New"/>
    </w:rPr>
  </w:style>
  <w:style w:type="character" w:styleId="ListLabel50" w:customStyle="1">
    <w:name w:val="ListLabel 50"/>
    <w:qFormat/>
    <w:rPr>
      <w:rFonts w:cs="Courier New"/>
    </w:rPr>
  </w:style>
  <w:style w:type="character" w:styleId="ListLabel51" w:customStyle="1">
    <w:name w:val="ListLabel 51"/>
    <w:qFormat/>
    <w:rPr>
      <w:rFonts w:cs="Courier New"/>
    </w:rPr>
  </w:style>
  <w:style w:type="character" w:styleId="ListLabel52" w:customStyle="1">
    <w:name w:val="ListLabel 52"/>
    <w:qFormat/>
    <w:rPr>
      <w:rFonts w:eastAsia="Times New Roman" w:cs="Calibri Light"/>
    </w:rPr>
  </w:style>
  <w:style w:type="character" w:styleId="ListLabel53" w:customStyle="1">
    <w:name w:val="ListLabel 53"/>
    <w:qFormat/>
    <w:rPr>
      <w:rFonts w:cs="Courier New"/>
    </w:rPr>
  </w:style>
  <w:style w:type="character" w:styleId="ListLabel54" w:customStyle="1">
    <w:name w:val="ListLabel 54"/>
    <w:qFormat/>
    <w:rPr>
      <w:rFonts w:cs="Courier New"/>
    </w:rPr>
  </w:style>
  <w:style w:type="character" w:styleId="ListLabel55" w:customStyle="1">
    <w:name w:val="ListLabel 55"/>
    <w:qFormat/>
    <w:rPr>
      <w:rFonts w:cs="Courier New"/>
    </w:rPr>
  </w:style>
  <w:style w:type="character" w:styleId="ListLabel56" w:customStyle="1">
    <w:name w:val="ListLabel 56"/>
    <w:qFormat/>
    <w:rPr>
      <w:rFonts w:eastAsia="Times New Roman" w:cs="Calibri Light"/>
    </w:rPr>
  </w:style>
  <w:style w:type="character" w:styleId="ListLabel57" w:customStyle="1">
    <w:name w:val="ListLabel 57"/>
    <w:qFormat/>
    <w:rPr>
      <w:rFonts w:cs="Courier New"/>
    </w:rPr>
  </w:style>
  <w:style w:type="character" w:styleId="ListLabel58" w:customStyle="1">
    <w:name w:val="ListLabel 58"/>
    <w:qFormat/>
    <w:rPr>
      <w:rFonts w:cs="Courier New"/>
    </w:rPr>
  </w:style>
  <w:style w:type="character" w:styleId="ListLabel59" w:customStyle="1">
    <w:name w:val="ListLabel 59"/>
    <w:qFormat/>
    <w:rPr>
      <w:rFonts w:cs="Courier New"/>
    </w:rPr>
  </w:style>
  <w:style w:type="character" w:styleId="ListLabel60" w:customStyle="1">
    <w:name w:val="ListLabel 60"/>
    <w:qFormat/>
    <w:rPr>
      <w:rFonts w:ascii="Courier New" w:hAnsi="Courier New" w:eastAsia="Times New Roman" w:cs="Calibri Light"/>
      <w:sz w:val="24"/>
    </w:rPr>
  </w:style>
  <w:style w:type="character" w:styleId="ListLabel61" w:customStyle="1">
    <w:name w:val="ListLabel 61"/>
    <w:qFormat/>
    <w:rPr>
      <w:rFonts w:cs="Courier New"/>
    </w:rPr>
  </w:style>
  <w:style w:type="character" w:styleId="ListLabel62" w:customStyle="1">
    <w:name w:val="ListLabel 62"/>
    <w:qFormat/>
    <w:rPr>
      <w:rFonts w:cs="Courier New"/>
    </w:rPr>
  </w:style>
  <w:style w:type="character" w:styleId="ListLabel63" w:customStyle="1">
    <w:name w:val="ListLabel 63"/>
    <w:qFormat/>
    <w:rPr>
      <w:rFonts w:cs="Courier New"/>
    </w:rPr>
  </w:style>
  <w:style w:type="character" w:styleId="ListLabel64" w:customStyle="1">
    <w:name w:val="ListLabel 64"/>
    <w:qFormat/>
    <w:rPr>
      <w:rFonts w:ascii="Courier New" w:hAnsi="Courier New" w:eastAsia="Times New Roman" w:cs="Calibri Light"/>
      <w:sz w:val="24"/>
    </w:rPr>
  </w:style>
  <w:style w:type="character" w:styleId="ListLabel65" w:customStyle="1">
    <w:name w:val="ListLabel 65"/>
    <w:qFormat/>
    <w:rPr>
      <w:rFonts w:cs="Courier New"/>
    </w:rPr>
  </w:style>
  <w:style w:type="character" w:styleId="ListLabel66" w:customStyle="1">
    <w:name w:val="ListLabel 66"/>
    <w:qFormat/>
    <w:rPr>
      <w:rFonts w:cs="Courier New"/>
    </w:rPr>
  </w:style>
  <w:style w:type="character" w:styleId="ListLabel67" w:customStyle="1">
    <w:name w:val="ListLabel 67"/>
    <w:qFormat/>
    <w:rPr>
      <w:rFonts w:cs="Courier New"/>
    </w:rPr>
  </w:style>
  <w:style w:type="character" w:styleId="ListLabel68" w:customStyle="1">
    <w:name w:val="ListLabel 68"/>
    <w:qFormat/>
    <w:rPr>
      <w:rFonts w:eastAsia="Times New Roman" w:cs="Calibri Light"/>
    </w:rPr>
  </w:style>
  <w:style w:type="character" w:styleId="ListLabel69" w:customStyle="1">
    <w:name w:val="ListLabel 69"/>
    <w:qFormat/>
    <w:rPr>
      <w:rFonts w:cs="Courier New"/>
    </w:rPr>
  </w:style>
  <w:style w:type="character" w:styleId="ListLabel70" w:customStyle="1">
    <w:name w:val="ListLabel 70"/>
    <w:qFormat/>
    <w:rPr>
      <w:rFonts w:cs="Courier New"/>
    </w:rPr>
  </w:style>
  <w:style w:type="character" w:styleId="ListLabel71" w:customStyle="1">
    <w:name w:val="ListLabel 71"/>
    <w:qFormat/>
    <w:rPr>
      <w:rFonts w:cs="Courier New"/>
    </w:rPr>
  </w:style>
  <w:style w:type="character" w:styleId="ListLabel72" w:customStyle="1">
    <w:name w:val="ListLabel 72"/>
    <w:qFormat/>
    <w:rPr>
      <w:rFonts w:ascii="Courier New" w:hAnsi="Courier New" w:eastAsia="Times New Roman" w:cs="Calibri Light"/>
      <w:sz w:val="24"/>
    </w:rPr>
  </w:style>
  <w:style w:type="character" w:styleId="ListLabel73" w:customStyle="1">
    <w:name w:val="ListLabel 73"/>
    <w:qFormat/>
    <w:rPr>
      <w:rFonts w:cs="Courier New"/>
    </w:rPr>
  </w:style>
  <w:style w:type="character" w:styleId="ListLabel74" w:customStyle="1">
    <w:name w:val="ListLabel 74"/>
    <w:qFormat/>
    <w:rPr>
      <w:rFonts w:cs="Courier New"/>
    </w:rPr>
  </w:style>
  <w:style w:type="character" w:styleId="ListLabel75" w:customStyle="1">
    <w:name w:val="ListLabel 75"/>
    <w:qFormat/>
    <w:rPr>
      <w:rFonts w:cs="Courier New"/>
    </w:rPr>
  </w:style>
  <w:style w:type="character" w:styleId="ListLabel76" w:customStyle="1">
    <w:name w:val="ListLabel 76"/>
    <w:qFormat/>
    <w:rPr>
      <w:rFonts w:ascii="Courier New" w:hAnsi="Courier New" w:eastAsia="SimSun" w:cs="Tahoma"/>
      <w:color w:val="0000FF"/>
      <w:kern w:val="2"/>
      <w:sz w:val="24"/>
      <w:szCs w:val="24"/>
      <w:u w:val="single"/>
    </w:rPr>
  </w:style>
  <w:style w:type="character" w:styleId="CollegamentoInternet" w:customStyle="1">
    <w:name w:val="Collegamento Internet"/>
    <w:rPr>
      <w:color w:val="000080"/>
      <w:u w:val="single"/>
    </w:rPr>
  </w:style>
  <w:style w:type="character" w:styleId="ListLabel77" w:customStyle="1">
    <w:name w:val="ListLabel 77"/>
    <w:qFormat/>
    <w:rPr>
      <w:rFonts w:ascii="Courier New" w:hAnsi="Courier New" w:cs="Courier New"/>
      <w:b/>
      <w:sz w:val="24"/>
      <w:szCs w:val="24"/>
    </w:rPr>
  </w:style>
  <w:style w:type="character" w:styleId="ListLabel78" w:customStyle="1">
    <w:name w:val="ListLabel 78"/>
    <w:qFormat/>
    <w:rPr>
      <w:rFonts w:ascii="Courier New" w:hAnsi="Courier New"/>
      <w:b w:val="false"/>
      <w:sz w:val="24"/>
    </w:rPr>
  </w:style>
  <w:style w:type="character" w:styleId="ListLabel79" w:customStyle="1">
    <w:name w:val="ListLabel 79"/>
    <w:qFormat/>
    <w:rPr>
      <w:rFonts w:ascii="Courier New" w:hAnsi="Courier New" w:cs="Courier New"/>
      <w:sz w:val="24"/>
      <w:szCs w:val="24"/>
    </w:rPr>
  </w:style>
  <w:style w:type="character" w:styleId="ListLabel80" w:customStyle="1">
    <w:name w:val="ListLabel 80"/>
    <w:qFormat/>
    <w:rPr>
      <w:rFonts w:cs="Courier New"/>
    </w:rPr>
  </w:style>
  <w:style w:type="character" w:styleId="ListLabel81" w:customStyle="1">
    <w:name w:val="ListLabel 81"/>
    <w:qFormat/>
    <w:rPr>
      <w:rFonts w:cs="Wingdings"/>
    </w:rPr>
  </w:style>
  <w:style w:type="character" w:styleId="ListLabel82" w:customStyle="1">
    <w:name w:val="ListLabel 82"/>
    <w:qFormat/>
    <w:rPr>
      <w:rFonts w:cs="Symbol"/>
    </w:rPr>
  </w:style>
  <w:style w:type="character" w:styleId="ListLabel83" w:customStyle="1">
    <w:name w:val="ListLabel 83"/>
    <w:qFormat/>
    <w:rPr>
      <w:rFonts w:cs="Courier New"/>
    </w:rPr>
  </w:style>
  <w:style w:type="character" w:styleId="ListLabel84" w:customStyle="1">
    <w:name w:val="ListLabel 84"/>
    <w:qFormat/>
    <w:rPr>
      <w:rFonts w:cs="Wingdings"/>
    </w:rPr>
  </w:style>
  <w:style w:type="character" w:styleId="ListLabel85" w:customStyle="1">
    <w:name w:val="ListLabel 85"/>
    <w:qFormat/>
    <w:rPr>
      <w:rFonts w:cs="Symbol"/>
    </w:rPr>
  </w:style>
  <w:style w:type="character" w:styleId="ListLabel86" w:customStyle="1">
    <w:name w:val="ListLabel 86"/>
    <w:qFormat/>
    <w:rPr>
      <w:rFonts w:cs="Courier New"/>
    </w:rPr>
  </w:style>
  <w:style w:type="character" w:styleId="ListLabel87" w:customStyle="1">
    <w:name w:val="ListLabel 87"/>
    <w:qFormat/>
    <w:rPr>
      <w:rFonts w:cs="Wingdings"/>
    </w:rPr>
  </w:style>
  <w:style w:type="character" w:styleId="ListLabel88" w:customStyle="1">
    <w:name w:val="ListLabel 88"/>
    <w:qFormat/>
    <w:rPr>
      <w:rFonts w:ascii="Calibri" w:hAnsi="Calibri" w:cs="Symbol"/>
      <w:sz w:val="24"/>
    </w:rPr>
  </w:style>
  <w:style w:type="character" w:styleId="ListLabel89" w:customStyle="1">
    <w:name w:val="ListLabel 89"/>
    <w:qFormat/>
    <w:rPr>
      <w:rFonts w:cs="Symbol"/>
    </w:rPr>
  </w:style>
  <w:style w:type="character" w:styleId="ListLabel90" w:customStyle="1">
    <w:name w:val="ListLabel 90"/>
    <w:qFormat/>
    <w:rPr>
      <w:rFonts w:ascii="Courier New" w:hAnsi="Courier New" w:cs="Courier New"/>
      <w:sz w:val="24"/>
      <w:szCs w:val="24"/>
    </w:rPr>
  </w:style>
  <w:style w:type="character" w:styleId="ListLabel91" w:customStyle="1">
    <w:name w:val="ListLabel 91"/>
    <w:qFormat/>
    <w:rPr>
      <w:rFonts w:cs="Courier New"/>
    </w:rPr>
  </w:style>
  <w:style w:type="character" w:styleId="ListLabel92" w:customStyle="1">
    <w:name w:val="ListLabel 92"/>
    <w:qFormat/>
    <w:rPr>
      <w:rFonts w:cs="Wingdings"/>
    </w:rPr>
  </w:style>
  <w:style w:type="character" w:styleId="ListLabel93" w:customStyle="1">
    <w:name w:val="ListLabel 93"/>
    <w:qFormat/>
    <w:rPr>
      <w:rFonts w:cs="Symbol"/>
    </w:rPr>
  </w:style>
  <w:style w:type="character" w:styleId="ListLabel94" w:customStyle="1">
    <w:name w:val="ListLabel 94"/>
    <w:qFormat/>
    <w:rPr>
      <w:rFonts w:cs="Courier New"/>
    </w:rPr>
  </w:style>
  <w:style w:type="character" w:styleId="ListLabel95" w:customStyle="1">
    <w:name w:val="ListLabel 95"/>
    <w:qFormat/>
    <w:rPr>
      <w:rFonts w:cs="Wingdings"/>
    </w:rPr>
  </w:style>
  <w:style w:type="character" w:styleId="ListLabel96" w:customStyle="1">
    <w:name w:val="ListLabel 96"/>
    <w:qFormat/>
    <w:rPr>
      <w:rFonts w:cs="Symbol"/>
    </w:rPr>
  </w:style>
  <w:style w:type="character" w:styleId="ListLabel97" w:customStyle="1">
    <w:name w:val="ListLabel 97"/>
    <w:qFormat/>
    <w:rPr>
      <w:rFonts w:cs="Courier New"/>
    </w:rPr>
  </w:style>
  <w:style w:type="character" w:styleId="ListLabel98" w:customStyle="1">
    <w:name w:val="ListLabel 98"/>
    <w:qFormat/>
    <w:rPr>
      <w:rFonts w:cs="Wingdings"/>
    </w:rPr>
  </w:style>
  <w:style w:type="character" w:styleId="ListLabel99" w:customStyle="1">
    <w:name w:val="ListLabel 99"/>
    <w:qFormat/>
    <w:rPr>
      <w:rFonts w:ascii="Courier New" w:hAnsi="Courier New" w:cs="Arial"/>
      <w:sz w:val="24"/>
    </w:rPr>
  </w:style>
  <w:style w:type="character" w:styleId="ListLabel100" w:customStyle="1">
    <w:name w:val="ListLabel 100"/>
    <w:qFormat/>
    <w:rPr>
      <w:rFonts w:cs="Courier New"/>
    </w:rPr>
  </w:style>
  <w:style w:type="character" w:styleId="ListLabel101" w:customStyle="1">
    <w:name w:val="ListLabel 101"/>
    <w:qFormat/>
    <w:rPr>
      <w:rFonts w:cs="Wingdings"/>
    </w:rPr>
  </w:style>
  <w:style w:type="character" w:styleId="ListLabel102" w:customStyle="1">
    <w:name w:val="ListLabel 102"/>
    <w:qFormat/>
    <w:rPr>
      <w:rFonts w:cs="Symbol"/>
    </w:rPr>
  </w:style>
  <w:style w:type="character" w:styleId="ListLabel103" w:customStyle="1">
    <w:name w:val="ListLabel 103"/>
    <w:qFormat/>
    <w:rPr>
      <w:rFonts w:cs="Courier New"/>
    </w:rPr>
  </w:style>
  <w:style w:type="character" w:styleId="ListLabel104" w:customStyle="1">
    <w:name w:val="ListLabel 104"/>
    <w:qFormat/>
    <w:rPr>
      <w:rFonts w:cs="Wingdings"/>
    </w:rPr>
  </w:style>
  <w:style w:type="character" w:styleId="ListLabel105" w:customStyle="1">
    <w:name w:val="ListLabel 105"/>
    <w:qFormat/>
    <w:rPr>
      <w:rFonts w:cs="Symbol"/>
    </w:rPr>
  </w:style>
  <w:style w:type="character" w:styleId="ListLabel106" w:customStyle="1">
    <w:name w:val="ListLabel 106"/>
    <w:qFormat/>
    <w:rPr>
      <w:rFonts w:cs="Courier New"/>
    </w:rPr>
  </w:style>
  <w:style w:type="character" w:styleId="ListLabel107" w:customStyle="1">
    <w:name w:val="ListLabel 107"/>
    <w:qFormat/>
    <w:rPr>
      <w:rFonts w:cs="Wingdings"/>
    </w:rPr>
  </w:style>
  <w:style w:type="character" w:styleId="ListLabel108" w:customStyle="1">
    <w:name w:val="ListLabel 108"/>
    <w:qFormat/>
    <w:rPr>
      <w:rFonts w:ascii="Courier New" w:hAnsi="Courier New" w:cs="Calibri Light"/>
      <w:sz w:val="24"/>
    </w:rPr>
  </w:style>
  <w:style w:type="character" w:styleId="ListLabel109" w:customStyle="1">
    <w:name w:val="ListLabel 109"/>
    <w:qFormat/>
    <w:rPr>
      <w:rFonts w:cs="Courier New"/>
    </w:rPr>
  </w:style>
  <w:style w:type="character" w:styleId="ListLabel110" w:customStyle="1">
    <w:name w:val="ListLabel 110"/>
    <w:qFormat/>
    <w:rPr>
      <w:rFonts w:cs="Wingdings"/>
    </w:rPr>
  </w:style>
  <w:style w:type="character" w:styleId="ListLabel111" w:customStyle="1">
    <w:name w:val="ListLabel 111"/>
    <w:qFormat/>
    <w:rPr>
      <w:rFonts w:cs="Symbol"/>
    </w:rPr>
  </w:style>
  <w:style w:type="character" w:styleId="ListLabel112" w:customStyle="1">
    <w:name w:val="ListLabel 112"/>
    <w:qFormat/>
    <w:rPr>
      <w:rFonts w:cs="Courier New"/>
    </w:rPr>
  </w:style>
  <w:style w:type="character" w:styleId="ListLabel113" w:customStyle="1">
    <w:name w:val="ListLabel 113"/>
    <w:qFormat/>
    <w:rPr>
      <w:rFonts w:cs="Wingdings"/>
    </w:rPr>
  </w:style>
  <w:style w:type="character" w:styleId="ListLabel114" w:customStyle="1">
    <w:name w:val="ListLabel 114"/>
    <w:qFormat/>
    <w:rPr>
      <w:rFonts w:cs="Symbol"/>
    </w:rPr>
  </w:style>
  <w:style w:type="character" w:styleId="ListLabel115" w:customStyle="1">
    <w:name w:val="ListLabel 115"/>
    <w:qFormat/>
    <w:rPr>
      <w:rFonts w:cs="Courier New"/>
    </w:rPr>
  </w:style>
  <w:style w:type="character" w:styleId="ListLabel116" w:customStyle="1">
    <w:name w:val="ListLabel 116"/>
    <w:qFormat/>
    <w:rPr>
      <w:rFonts w:cs="Wingdings"/>
    </w:rPr>
  </w:style>
  <w:style w:type="character" w:styleId="ListLabel117" w:customStyle="1">
    <w:name w:val="ListLabel 117"/>
    <w:qFormat/>
    <w:rPr>
      <w:rFonts w:ascii="Courier New" w:hAnsi="Courier New" w:cs="Calibri Light"/>
      <w:sz w:val="24"/>
    </w:rPr>
  </w:style>
  <w:style w:type="character" w:styleId="ListLabel118" w:customStyle="1">
    <w:name w:val="ListLabel 118"/>
    <w:qFormat/>
    <w:rPr>
      <w:rFonts w:cs="Courier New"/>
    </w:rPr>
  </w:style>
  <w:style w:type="character" w:styleId="ListLabel119" w:customStyle="1">
    <w:name w:val="ListLabel 119"/>
    <w:qFormat/>
    <w:rPr>
      <w:rFonts w:cs="Wingdings"/>
    </w:rPr>
  </w:style>
  <w:style w:type="character" w:styleId="ListLabel120" w:customStyle="1">
    <w:name w:val="ListLabel 120"/>
    <w:qFormat/>
    <w:rPr>
      <w:rFonts w:cs="Symbol"/>
    </w:rPr>
  </w:style>
  <w:style w:type="character" w:styleId="ListLabel121" w:customStyle="1">
    <w:name w:val="ListLabel 121"/>
    <w:qFormat/>
    <w:rPr>
      <w:rFonts w:cs="Courier New"/>
    </w:rPr>
  </w:style>
  <w:style w:type="character" w:styleId="ListLabel122" w:customStyle="1">
    <w:name w:val="ListLabel 122"/>
    <w:qFormat/>
    <w:rPr>
      <w:rFonts w:cs="Wingdings"/>
    </w:rPr>
  </w:style>
  <w:style w:type="character" w:styleId="ListLabel123" w:customStyle="1">
    <w:name w:val="ListLabel 123"/>
    <w:qFormat/>
    <w:rPr>
      <w:rFonts w:cs="Symbol"/>
    </w:rPr>
  </w:style>
  <w:style w:type="character" w:styleId="ListLabel124" w:customStyle="1">
    <w:name w:val="ListLabel 124"/>
    <w:qFormat/>
    <w:rPr>
      <w:rFonts w:cs="Courier New"/>
    </w:rPr>
  </w:style>
  <w:style w:type="character" w:styleId="ListLabel125" w:customStyle="1">
    <w:name w:val="ListLabel 125"/>
    <w:qFormat/>
    <w:rPr>
      <w:rFonts w:cs="Wingdings"/>
    </w:rPr>
  </w:style>
  <w:style w:type="character" w:styleId="ListLabel126" w:customStyle="1">
    <w:name w:val="ListLabel 126"/>
    <w:qFormat/>
    <w:rPr>
      <w:rFonts w:ascii="Courier New" w:hAnsi="Courier New" w:cs="Calibri Light"/>
      <w:sz w:val="24"/>
    </w:rPr>
  </w:style>
  <w:style w:type="character" w:styleId="ListLabel127" w:customStyle="1">
    <w:name w:val="ListLabel 127"/>
    <w:qFormat/>
    <w:rPr>
      <w:rFonts w:cs="Courier New"/>
    </w:rPr>
  </w:style>
  <w:style w:type="character" w:styleId="ListLabel128" w:customStyle="1">
    <w:name w:val="ListLabel 128"/>
    <w:qFormat/>
    <w:rPr>
      <w:rFonts w:cs="Wingdings"/>
    </w:rPr>
  </w:style>
  <w:style w:type="character" w:styleId="ListLabel129" w:customStyle="1">
    <w:name w:val="ListLabel 129"/>
    <w:qFormat/>
    <w:rPr>
      <w:rFonts w:cs="Symbol"/>
    </w:rPr>
  </w:style>
  <w:style w:type="character" w:styleId="ListLabel130" w:customStyle="1">
    <w:name w:val="ListLabel 130"/>
    <w:qFormat/>
    <w:rPr>
      <w:rFonts w:cs="Courier New"/>
    </w:rPr>
  </w:style>
  <w:style w:type="character" w:styleId="ListLabel131" w:customStyle="1">
    <w:name w:val="ListLabel 131"/>
    <w:qFormat/>
    <w:rPr>
      <w:rFonts w:cs="Wingdings"/>
    </w:rPr>
  </w:style>
  <w:style w:type="character" w:styleId="ListLabel132" w:customStyle="1">
    <w:name w:val="ListLabel 132"/>
    <w:qFormat/>
    <w:rPr>
      <w:rFonts w:cs="Symbol"/>
    </w:rPr>
  </w:style>
  <w:style w:type="character" w:styleId="ListLabel133" w:customStyle="1">
    <w:name w:val="ListLabel 133"/>
    <w:qFormat/>
    <w:rPr>
      <w:rFonts w:cs="Courier New"/>
    </w:rPr>
  </w:style>
  <w:style w:type="character" w:styleId="ListLabel134" w:customStyle="1">
    <w:name w:val="ListLabel 134"/>
    <w:qFormat/>
    <w:rPr>
      <w:rFonts w:cs="Wingdings"/>
    </w:rPr>
  </w:style>
  <w:style w:type="character" w:styleId="ListLabel135" w:customStyle="1">
    <w:name w:val="ListLabel 135"/>
    <w:qFormat/>
    <w:rPr>
      <w:rFonts w:ascii="Courier New" w:hAnsi="Courier New" w:cs="Calibri Light"/>
      <w:sz w:val="24"/>
    </w:rPr>
  </w:style>
  <w:style w:type="character" w:styleId="ListLabel136" w:customStyle="1">
    <w:name w:val="ListLabel 136"/>
    <w:qFormat/>
    <w:rPr>
      <w:rFonts w:cs="Courier New"/>
    </w:rPr>
  </w:style>
  <w:style w:type="character" w:styleId="ListLabel137" w:customStyle="1">
    <w:name w:val="ListLabel 137"/>
    <w:qFormat/>
    <w:rPr>
      <w:rFonts w:cs="Wingdings"/>
    </w:rPr>
  </w:style>
  <w:style w:type="character" w:styleId="ListLabel138" w:customStyle="1">
    <w:name w:val="ListLabel 138"/>
    <w:qFormat/>
    <w:rPr>
      <w:rFonts w:cs="Symbol"/>
    </w:rPr>
  </w:style>
  <w:style w:type="character" w:styleId="ListLabel139" w:customStyle="1">
    <w:name w:val="ListLabel 139"/>
    <w:qFormat/>
    <w:rPr>
      <w:rFonts w:cs="Courier New"/>
    </w:rPr>
  </w:style>
  <w:style w:type="character" w:styleId="ListLabel140" w:customStyle="1">
    <w:name w:val="ListLabel 140"/>
    <w:qFormat/>
    <w:rPr>
      <w:rFonts w:cs="Wingdings"/>
    </w:rPr>
  </w:style>
  <w:style w:type="character" w:styleId="ListLabel141" w:customStyle="1">
    <w:name w:val="ListLabel 141"/>
    <w:qFormat/>
    <w:rPr>
      <w:rFonts w:cs="Symbol"/>
    </w:rPr>
  </w:style>
  <w:style w:type="character" w:styleId="ListLabel142" w:customStyle="1">
    <w:name w:val="ListLabel 142"/>
    <w:qFormat/>
    <w:rPr>
      <w:rFonts w:cs="Courier New"/>
    </w:rPr>
  </w:style>
  <w:style w:type="character" w:styleId="ListLabel143" w:customStyle="1">
    <w:name w:val="ListLabel 143"/>
    <w:qFormat/>
    <w:rPr>
      <w:rFonts w:cs="Wingdings"/>
    </w:rPr>
  </w:style>
  <w:style w:type="character" w:styleId="ListLabel144" w:customStyle="1">
    <w:name w:val="ListLabel 144"/>
    <w:qFormat/>
    <w:rPr>
      <w:rFonts w:ascii="Courier New" w:hAnsi="Courier New" w:cs="Calibri Light"/>
      <w:sz w:val="24"/>
    </w:rPr>
  </w:style>
  <w:style w:type="character" w:styleId="ListLabel145" w:customStyle="1">
    <w:name w:val="ListLabel 145"/>
    <w:qFormat/>
    <w:rPr>
      <w:rFonts w:cs="Courier New"/>
    </w:rPr>
  </w:style>
  <w:style w:type="character" w:styleId="ListLabel146" w:customStyle="1">
    <w:name w:val="ListLabel 146"/>
    <w:qFormat/>
    <w:rPr>
      <w:rFonts w:cs="Wingdings"/>
    </w:rPr>
  </w:style>
  <w:style w:type="character" w:styleId="ListLabel147" w:customStyle="1">
    <w:name w:val="ListLabel 147"/>
    <w:qFormat/>
    <w:rPr>
      <w:rFonts w:cs="Symbol"/>
    </w:rPr>
  </w:style>
  <w:style w:type="character" w:styleId="ListLabel148" w:customStyle="1">
    <w:name w:val="ListLabel 148"/>
    <w:qFormat/>
    <w:rPr>
      <w:rFonts w:cs="Courier New"/>
    </w:rPr>
  </w:style>
  <w:style w:type="character" w:styleId="ListLabel149" w:customStyle="1">
    <w:name w:val="ListLabel 149"/>
    <w:qFormat/>
    <w:rPr>
      <w:rFonts w:cs="Wingdings"/>
    </w:rPr>
  </w:style>
  <w:style w:type="character" w:styleId="ListLabel150" w:customStyle="1">
    <w:name w:val="ListLabel 150"/>
    <w:qFormat/>
    <w:rPr>
      <w:rFonts w:cs="Symbol"/>
    </w:rPr>
  </w:style>
  <w:style w:type="character" w:styleId="ListLabel151" w:customStyle="1">
    <w:name w:val="ListLabel 151"/>
    <w:qFormat/>
    <w:rPr>
      <w:rFonts w:cs="Courier New"/>
    </w:rPr>
  </w:style>
  <w:style w:type="character" w:styleId="ListLabel152" w:customStyle="1">
    <w:name w:val="ListLabel 152"/>
    <w:qFormat/>
    <w:rPr>
      <w:rFonts w:cs="Wingdings"/>
    </w:rPr>
  </w:style>
  <w:style w:type="character" w:styleId="ListLabel153" w:customStyle="1">
    <w:name w:val="ListLabel 153"/>
    <w:qFormat/>
    <w:rPr>
      <w:rFonts w:ascii="Courier New" w:hAnsi="Courier New" w:eastAsia="SimSun" w:cs="Tahoma"/>
      <w:color w:val="0000FF"/>
      <w:kern w:val="2"/>
      <w:sz w:val="24"/>
      <w:szCs w:val="24"/>
      <w:u w:val="single"/>
    </w:rPr>
  </w:style>
  <w:style w:type="character" w:styleId="Punti" w:customStyle="1">
    <w:name w:val="Punti"/>
    <w:qFormat/>
    <w:rPr>
      <w:rFonts w:ascii="OpenSymbol" w:hAnsi="OpenSymbol" w:eastAsia="OpenSymbol" w:cs="OpenSymbol"/>
    </w:rPr>
  </w:style>
  <w:style w:type="character" w:styleId="ListLabel154" w:customStyle="1">
    <w:name w:val="ListLabel 154"/>
    <w:qFormat/>
    <w:rPr>
      <w:rFonts w:ascii="Courier New" w:hAnsi="Courier New" w:cs="Courier New"/>
      <w:b/>
      <w:sz w:val="24"/>
      <w:szCs w:val="24"/>
    </w:rPr>
  </w:style>
  <w:style w:type="character" w:styleId="ListLabel155" w:customStyle="1">
    <w:name w:val="ListLabel 155"/>
    <w:qFormat/>
    <w:rPr>
      <w:rFonts w:ascii="Courier New" w:hAnsi="Courier New"/>
      <w:b w:val="false"/>
      <w:sz w:val="24"/>
    </w:rPr>
  </w:style>
  <w:style w:type="character" w:styleId="ListLabel156" w:customStyle="1">
    <w:name w:val="ListLabel 156"/>
    <w:qFormat/>
    <w:rPr>
      <w:rFonts w:ascii="Courier New" w:hAnsi="Courier New" w:cs="Courier New"/>
      <w:sz w:val="24"/>
      <w:szCs w:val="24"/>
    </w:rPr>
  </w:style>
  <w:style w:type="character" w:styleId="ListLabel157" w:customStyle="1">
    <w:name w:val="ListLabel 157"/>
    <w:qFormat/>
    <w:rPr>
      <w:rFonts w:cs="Courier New"/>
    </w:rPr>
  </w:style>
  <w:style w:type="character" w:styleId="ListLabel158" w:customStyle="1">
    <w:name w:val="ListLabel 158"/>
    <w:qFormat/>
    <w:rPr>
      <w:rFonts w:cs="Wingdings"/>
    </w:rPr>
  </w:style>
  <w:style w:type="character" w:styleId="ListLabel159" w:customStyle="1">
    <w:name w:val="ListLabel 159"/>
    <w:qFormat/>
    <w:rPr>
      <w:rFonts w:cs="Symbol"/>
    </w:rPr>
  </w:style>
  <w:style w:type="character" w:styleId="ListLabel160" w:customStyle="1">
    <w:name w:val="ListLabel 160"/>
    <w:qFormat/>
    <w:rPr>
      <w:rFonts w:cs="Courier New"/>
    </w:rPr>
  </w:style>
  <w:style w:type="character" w:styleId="ListLabel161" w:customStyle="1">
    <w:name w:val="ListLabel 161"/>
    <w:qFormat/>
    <w:rPr>
      <w:rFonts w:cs="Wingdings"/>
    </w:rPr>
  </w:style>
  <w:style w:type="character" w:styleId="ListLabel162" w:customStyle="1">
    <w:name w:val="ListLabel 162"/>
    <w:qFormat/>
    <w:rPr>
      <w:rFonts w:cs="Symbol"/>
    </w:rPr>
  </w:style>
  <w:style w:type="character" w:styleId="ListLabel163" w:customStyle="1">
    <w:name w:val="ListLabel 163"/>
    <w:qFormat/>
    <w:rPr>
      <w:rFonts w:cs="Courier New"/>
    </w:rPr>
  </w:style>
  <w:style w:type="character" w:styleId="ListLabel164" w:customStyle="1">
    <w:name w:val="ListLabel 164"/>
    <w:qFormat/>
    <w:rPr>
      <w:rFonts w:cs="Wingdings"/>
    </w:rPr>
  </w:style>
  <w:style w:type="character" w:styleId="ListLabel165" w:customStyle="1">
    <w:name w:val="ListLabel 165"/>
    <w:qFormat/>
    <w:rPr>
      <w:rFonts w:ascii="Calibri" w:hAnsi="Calibri" w:cs="Symbol"/>
      <w:sz w:val="24"/>
    </w:rPr>
  </w:style>
  <w:style w:type="character" w:styleId="ListLabel166" w:customStyle="1">
    <w:name w:val="ListLabel 166"/>
    <w:qFormat/>
    <w:rPr>
      <w:rFonts w:cs="Symbol"/>
    </w:rPr>
  </w:style>
  <w:style w:type="character" w:styleId="ListLabel167" w:customStyle="1">
    <w:name w:val="ListLabel 167"/>
    <w:qFormat/>
    <w:rPr>
      <w:rFonts w:ascii="Courier New" w:hAnsi="Courier New" w:cs="Courier New"/>
      <w:sz w:val="24"/>
      <w:szCs w:val="24"/>
    </w:rPr>
  </w:style>
  <w:style w:type="character" w:styleId="ListLabel168" w:customStyle="1">
    <w:name w:val="ListLabel 168"/>
    <w:qFormat/>
    <w:rPr>
      <w:rFonts w:cs="Courier New"/>
    </w:rPr>
  </w:style>
  <w:style w:type="character" w:styleId="ListLabel169" w:customStyle="1">
    <w:name w:val="ListLabel 169"/>
    <w:qFormat/>
    <w:rPr>
      <w:rFonts w:cs="Wingdings"/>
    </w:rPr>
  </w:style>
  <w:style w:type="character" w:styleId="ListLabel170" w:customStyle="1">
    <w:name w:val="ListLabel 170"/>
    <w:qFormat/>
    <w:rPr>
      <w:rFonts w:cs="Symbol"/>
    </w:rPr>
  </w:style>
  <w:style w:type="character" w:styleId="ListLabel171" w:customStyle="1">
    <w:name w:val="ListLabel 171"/>
    <w:qFormat/>
    <w:rPr>
      <w:rFonts w:cs="Courier New"/>
    </w:rPr>
  </w:style>
  <w:style w:type="character" w:styleId="ListLabel172" w:customStyle="1">
    <w:name w:val="ListLabel 172"/>
    <w:qFormat/>
    <w:rPr>
      <w:rFonts w:cs="Wingdings"/>
    </w:rPr>
  </w:style>
  <w:style w:type="character" w:styleId="ListLabel173" w:customStyle="1">
    <w:name w:val="ListLabel 173"/>
    <w:qFormat/>
    <w:rPr>
      <w:rFonts w:cs="Symbol"/>
    </w:rPr>
  </w:style>
  <w:style w:type="character" w:styleId="ListLabel174" w:customStyle="1">
    <w:name w:val="ListLabel 174"/>
    <w:qFormat/>
    <w:rPr>
      <w:rFonts w:cs="Courier New"/>
    </w:rPr>
  </w:style>
  <w:style w:type="character" w:styleId="ListLabel175" w:customStyle="1">
    <w:name w:val="ListLabel 175"/>
    <w:qFormat/>
    <w:rPr>
      <w:rFonts w:cs="Wingdings"/>
    </w:rPr>
  </w:style>
  <w:style w:type="character" w:styleId="ListLabel176" w:customStyle="1">
    <w:name w:val="ListLabel 176"/>
    <w:qFormat/>
    <w:rPr>
      <w:rFonts w:ascii="Courier New" w:hAnsi="Courier New" w:cs="Arial"/>
      <w:sz w:val="24"/>
    </w:rPr>
  </w:style>
  <w:style w:type="character" w:styleId="ListLabel177" w:customStyle="1">
    <w:name w:val="ListLabel 177"/>
    <w:qFormat/>
    <w:rPr>
      <w:rFonts w:cs="Courier New"/>
    </w:rPr>
  </w:style>
  <w:style w:type="character" w:styleId="ListLabel178" w:customStyle="1">
    <w:name w:val="ListLabel 178"/>
    <w:qFormat/>
    <w:rPr>
      <w:rFonts w:cs="Wingdings"/>
    </w:rPr>
  </w:style>
  <w:style w:type="character" w:styleId="ListLabel179" w:customStyle="1">
    <w:name w:val="ListLabel 179"/>
    <w:qFormat/>
    <w:rPr>
      <w:rFonts w:cs="Symbol"/>
    </w:rPr>
  </w:style>
  <w:style w:type="character" w:styleId="ListLabel180" w:customStyle="1">
    <w:name w:val="ListLabel 180"/>
    <w:qFormat/>
    <w:rPr>
      <w:rFonts w:cs="Courier New"/>
    </w:rPr>
  </w:style>
  <w:style w:type="character" w:styleId="ListLabel181" w:customStyle="1">
    <w:name w:val="ListLabel 181"/>
    <w:qFormat/>
    <w:rPr>
      <w:rFonts w:cs="Wingdings"/>
    </w:rPr>
  </w:style>
  <w:style w:type="character" w:styleId="ListLabel182" w:customStyle="1">
    <w:name w:val="ListLabel 182"/>
    <w:qFormat/>
    <w:rPr>
      <w:rFonts w:cs="Symbol"/>
    </w:rPr>
  </w:style>
  <w:style w:type="character" w:styleId="ListLabel183" w:customStyle="1">
    <w:name w:val="ListLabel 183"/>
    <w:qFormat/>
    <w:rPr>
      <w:rFonts w:cs="Courier New"/>
    </w:rPr>
  </w:style>
  <w:style w:type="character" w:styleId="ListLabel184" w:customStyle="1">
    <w:name w:val="ListLabel 184"/>
    <w:qFormat/>
    <w:rPr>
      <w:rFonts w:cs="Wingdings"/>
    </w:rPr>
  </w:style>
  <w:style w:type="character" w:styleId="ListLabel185" w:customStyle="1">
    <w:name w:val="ListLabel 185"/>
    <w:qFormat/>
    <w:rPr>
      <w:rFonts w:ascii="Courier New" w:hAnsi="Courier New" w:cs="Calibri Light"/>
      <w:sz w:val="24"/>
    </w:rPr>
  </w:style>
  <w:style w:type="character" w:styleId="ListLabel186" w:customStyle="1">
    <w:name w:val="ListLabel 186"/>
    <w:qFormat/>
    <w:rPr>
      <w:rFonts w:cs="Courier New"/>
    </w:rPr>
  </w:style>
  <w:style w:type="character" w:styleId="ListLabel187" w:customStyle="1">
    <w:name w:val="ListLabel 187"/>
    <w:qFormat/>
    <w:rPr>
      <w:rFonts w:cs="Wingdings"/>
    </w:rPr>
  </w:style>
  <w:style w:type="character" w:styleId="ListLabel188" w:customStyle="1">
    <w:name w:val="ListLabel 188"/>
    <w:qFormat/>
    <w:rPr>
      <w:rFonts w:cs="Symbol"/>
    </w:rPr>
  </w:style>
  <w:style w:type="character" w:styleId="ListLabel189" w:customStyle="1">
    <w:name w:val="ListLabel 189"/>
    <w:qFormat/>
    <w:rPr>
      <w:rFonts w:cs="Courier New"/>
    </w:rPr>
  </w:style>
  <w:style w:type="character" w:styleId="ListLabel190" w:customStyle="1">
    <w:name w:val="ListLabel 190"/>
    <w:qFormat/>
    <w:rPr>
      <w:rFonts w:cs="Wingdings"/>
    </w:rPr>
  </w:style>
  <w:style w:type="character" w:styleId="ListLabel191" w:customStyle="1">
    <w:name w:val="ListLabel 191"/>
    <w:qFormat/>
    <w:rPr>
      <w:rFonts w:cs="Symbol"/>
    </w:rPr>
  </w:style>
  <w:style w:type="character" w:styleId="ListLabel192" w:customStyle="1">
    <w:name w:val="ListLabel 192"/>
    <w:qFormat/>
    <w:rPr>
      <w:rFonts w:cs="Courier New"/>
    </w:rPr>
  </w:style>
  <w:style w:type="character" w:styleId="ListLabel193" w:customStyle="1">
    <w:name w:val="ListLabel 193"/>
    <w:qFormat/>
    <w:rPr>
      <w:rFonts w:cs="Wingdings"/>
    </w:rPr>
  </w:style>
  <w:style w:type="character" w:styleId="ListLabel194" w:customStyle="1">
    <w:name w:val="ListLabel 194"/>
    <w:qFormat/>
    <w:rPr>
      <w:rFonts w:ascii="Courier New" w:hAnsi="Courier New" w:cs="Calibri Light"/>
      <w:sz w:val="24"/>
    </w:rPr>
  </w:style>
  <w:style w:type="character" w:styleId="ListLabel195" w:customStyle="1">
    <w:name w:val="ListLabel 195"/>
    <w:qFormat/>
    <w:rPr>
      <w:rFonts w:cs="Courier New"/>
    </w:rPr>
  </w:style>
  <w:style w:type="character" w:styleId="ListLabel196" w:customStyle="1">
    <w:name w:val="ListLabel 196"/>
    <w:qFormat/>
    <w:rPr>
      <w:rFonts w:cs="Wingdings"/>
    </w:rPr>
  </w:style>
  <w:style w:type="character" w:styleId="ListLabel197" w:customStyle="1">
    <w:name w:val="ListLabel 197"/>
    <w:qFormat/>
    <w:rPr>
      <w:rFonts w:cs="Symbol"/>
    </w:rPr>
  </w:style>
  <w:style w:type="character" w:styleId="ListLabel198" w:customStyle="1">
    <w:name w:val="ListLabel 198"/>
    <w:qFormat/>
    <w:rPr>
      <w:rFonts w:cs="Courier New"/>
    </w:rPr>
  </w:style>
  <w:style w:type="character" w:styleId="ListLabel199" w:customStyle="1">
    <w:name w:val="ListLabel 199"/>
    <w:qFormat/>
    <w:rPr>
      <w:rFonts w:cs="Wingdings"/>
    </w:rPr>
  </w:style>
  <w:style w:type="character" w:styleId="ListLabel200" w:customStyle="1">
    <w:name w:val="ListLabel 200"/>
    <w:qFormat/>
    <w:rPr>
      <w:rFonts w:cs="Symbol"/>
    </w:rPr>
  </w:style>
  <w:style w:type="character" w:styleId="ListLabel201" w:customStyle="1">
    <w:name w:val="ListLabel 201"/>
    <w:qFormat/>
    <w:rPr>
      <w:rFonts w:cs="Courier New"/>
    </w:rPr>
  </w:style>
  <w:style w:type="character" w:styleId="ListLabel202" w:customStyle="1">
    <w:name w:val="ListLabel 202"/>
    <w:qFormat/>
    <w:rPr>
      <w:rFonts w:cs="Wingdings"/>
    </w:rPr>
  </w:style>
  <w:style w:type="character" w:styleId="ListLabel203" w:customStyle="1">
    <w:name w:val="ListLabel 203"/>
    <w:qFormat/>
    <w:rPr>
      <w:rFonts w:ascii="Courier New" w:hAnsi="Courier New" w:cs="Calibri Light"/>
      <w:sz w:val="24"/>
    </w:rPr>
  </w:style>
  <w:style w:type="character" w:styleId="ListLabel204" w:customStyle="1">
    <w:name w:val="ListLabel 204"/>
    <w:qFormat/>
    <w:rPr>
      <w:rFonts w:cs="Courier New"/>
    </w:rPr>
  </w:style>
  <w:style w:type="character" w:styleId="ListLabel205" w:customStyle="1">
    <w:name w:val="ListLabel 205"/>
    <w:qFormat/>
    <w:rPr>
      <w:rFonts w:cs="Wingdings"/>
    </w:rPr>
  </w:style>
  <w:style w:type="character" w:styleId="ListLabel206" w:customStyle="1">
    <w:name w:val="ListLabel 206"/>
    <w:qFormat/>
    <w:rPr>
      <w:rFonts w:cs="Symbol"/>
    </w:rPr>
  </w:style>
  <w:style w:type="character" w:styleId="ListLabel207" w:customStyle="1">
    <w:name w:val="ListLabel 207"/>
    <w:qFormat/>
    <w:rPr>
      <w:rFonts w:cs="Courier New"/>
    </w:rPr>
  </w:style>
  <w:style w:type="character" w:styleId="ListLabel208" w:customStyle="1">
    <w:name w:val="ListLabel 208"/>
    <w:qFormat/>
    <w:rPr>
      <w:rFonts w:cs="Wingdings"/>
    </w:rPr>
  </w:style>
  <w:style w:type="character" w:styleId="ListLabel209" w:customStyle="1">
    <w:name w:val="ListLabel 209"/>
    <w:qFormat/>
    <w:rPr>
      <w:rFonts w:cs="Symbol"/>
    </w:rPr>
  </w:style>
  <w:style w:type="character" w:styleId="ListLabel210" w:customStyle="1">
    <w:name w:val="ListLabel 210"/>
    <w:qFormat/>
    <w:rPr>
      <w:rFonts w:cs="Courier New"/>
    </w:rPr>
  </w:style>
  <w:style w:type="character" w:styleId="ListLabel211" w:customStyle="1">
    <w:name w:val="ListLabel 211"/>
    <w:qFormat/>
    <w:rPr>
      <w:rFonts w:cs="Wingdings"/>
    </w:rPr>
  </w:style>
  <w:style w:type="character" w:styleId="ListLabel212" w:customStyle="1">
    <w:name w:val="ListLabel 212"/>
    <w:qFormat/>
    <w:rPr>
      <w:rFonts w:ascii="Courier New" w:hAnsi="Courier New" w:cs="Calibri Light"/>
      <w:sz w:val="24"/>
    </w:rPr>
  </w:style>
  <w:style w:type="character" w:styleId="ListLabel213" w:customStyle="1">
    <w:name w:val="ListLabel 213"/>
    <w:qFormat/>
    <w:rPr>
      <w:rFonts w:cs="Courier New"/>
    </w:rPr>
  </w:style>
  <w:style w:type="character" w:styleId="ListLabel214" w:customStyle="1">
    <w:name w:val="ListLabel 214"/>
    <w:qFormat/>
    <w:rPr>
      <w:rFonts w:cs="Wingdings"/>
    </w:rPr>
  </w:style>
  <w:style w:type="character" w:styleId="ListLabel215" w:customStyle="1">
    <w:name w:val="ListLabel 215"/>
    <w:qFormat/>
    <w:rPr>
      <w:rFonts w:cs="Symbol"/>
    </w:rPr>
  </w:style>
  <w:style w:type="character" w:styleId="ListLabel216" w:customStyle="1">
    <w:name w:val="ListLabel 216"/>
    <w:qFormat/>
    <w:rPr>
      <w:rFonts w:cs="Courier New"/>
    </w:rPr>
  </w:style>
  <w:style w:type="character" w:styleId="ListLabel217" w:customStyle="1">
    <w:name w:val="ListLabel 217"/>
    <w:qFormat/>
    <w:rPr>
      <w:rFonts w:cs="Wingdings"/>
    </w:rPr>
  </w:style>
  <w:style w:type="character" w:styleId="ListLabel218" w:customStyle="1">
    <w:name w:val="ListLabel 218"/>
    <w:qFormat/>
    <w:rPr>
      <w:rFonts w:cs="Symbol"/>
    </w:rPr>
  </w:style>
  <w:style w:type="character" w:styleId="ListLabel219" w:customStyle="1">
    <w:name w:val="ListLabel 219"/>
    <w:qFormat/>
    <w:rPr>
      <w:rFonts w:cs="Courier New"/>
    </w:rPr>
  </w:style>
  <w:style w:type="character" w:styleId="ListLabel220" w:customStyle="1">
    <w:name w:val="ListLabel 220"/>
    <w:qFormat/>
    <w:rPr>
      <w:rFonts w:cs="Wingdings"/>
    </w:rPr>
  </w:style>
  <w:style w:type="character" w:styleId="ListLabel221" w:customStyle="1">
    <w:name w:val="ListLabel 221"/>
    <w:qFormat/>
    <w:rPr>
      <w:rFonts w:ascii="Courier New" w:hAnsi="Courier New" w:cs="Calibri Light"/>
      <w:sz w:val="24"/>
    </w:rPr>
  </w:style>
  <w:style w:type="character" w:styleId="ListLabel222" w:customStyle="1">
    <w:name w:val="ListLabel 222"/>
    <w:qFormat/>
    <w:rPr>
      <w:rFonts w:cs="Courier New"/>
    </w:rPr>
  </w:style>
  <w:style w:type="character" w:styleId="ListLabel223" w:customStyle="1">
    <w:name w:val="ListLabel 223"/>
    <w:qFormat/>
    <w:rPr>
      <w:rFonts w:cs="Wingdings"/>
    </w:rPr>
  </w:style>
  <w:style w:type="character" w:styleId="ListLabel224" w:customStyle="1">
    <w:name w:val="ListLabel 224"/>
    <w:qFormat/>
    <w:rPr>
      <w:rFonts w:cs="Symbol"/>
    </w:rPr>
  </w:style>
  <w:style w:type="character" w:styleId="ListLabel225" w:customStyle="1">
    <w:name w:val="ListLabel 225"/>
    <w:qFormat/>
    <w:rPr>
      <w:rFonts w:cs="Courier New"/>
    </w:rPr>
  </w:style>
  <w:style w:type="character" w:styleId="ListLabel226" w:customStyle="1">
    <w:name w:val="ListLabel 226"/>
    <w:qFormat/>
    <w:rPr>
      <w:rFonts w:cs="Wingdings"/>
    </w:rPr>
  </w:style>
  <w:style w:type="character" w:styleId="ListLabel227" w:customStyle="1">
    <w:name w:val="ListLabel 227"/>
    <w:qFormat/>
    <w:rPr>
      <w:rFonts w:cs="Symbol"/>
    </w:rPr>
  </w:style>
  <w:style w:type="character" w:styleId="ListLabel228" w:customStyle="1">
    <w:name w:val="ListLabel 228"/>
    <w:qFormat/>
    <w:rPr>
      <w:rFonts w:cs="Courier New"/>
    </w:rPr>
  </w:style>
  <w:style w:type="character" w:styleId="ListLabel229" w:customStyle="1">
    <w:name w:val="ListLabel 229"/>
    <w:qFormat/>
    <w:rPr>
      <w:rFonts w:cs="Wingdings"/>
    </w:rPr>
  </w:style>
  <w:style w:type="character" w:styleId="ListLabel230" w:customStyle="1">
    <w:name w:val="ListLabel 230"/>
    <w:qFormat/>
    <w:rPr>
      <w:rFonts w:cs="OpenSymbol"/>
    </w:rPr>
  </w:style>
  <w:style w:type="character" w:styleId="ListLabel231" w:customStyle="1">
    <w:name w:val="ListLabel 231"/>
    <w:qFormat/>
    <w:rPr>
      <w:rFonts w:cs="OpenSymbol"/>
    </w:rPr>
  </w:style>
  <w:style w:type="character" w:styleId="ListLabel232" w:customStyle="1">
    <w:name w:val="ListLabel 232"/>
    <w:qFormat/>
    <w:rPr>
      <w:rFonts w:cs="OpenSymbol"/>
    </w:rPr>
  </w:style>
  <w:style w:type="character" w:styleId="ListLabel233" w:customStyle="1">
    <w:name w:val="ListLabel 233"/>
    <w:qFormat/>
    <w:rPr>
      <w:rFonts w:cs="OpenSymbol"/>
    </w:rPr>
  </w:style>
  <w:style w:type="character" w:styleId="ListLabel234" w:customStyle="1">
    <w:name w:val="ListLabel 234"/>
    <w:qFormat/>
    <w:rPr>
      <w:rFonts w:cs="OpenSymbol"/>
    </w:rPr>
  </w:style>
  <w:style w:type="character" w:styleId="ListLabel235" w:customStyle="1">
    <w:name w:val="ListLabel 235"/>
    <w:qFormat/>
    <w:rPr>
      <w:rFonts w:cs="OpenSymbol"/>
    </w:rPr>
  </w:style>
  <w:style w:type="character" w:styleId="ListLabel236" w:customStyle="1">
    <w:name w:val="ListLabel 236"/>
    <w:qFormat/>
    <w:rPr>
      <w:rFonts w:cs="OpenSymbol"/>
    </w:rPr>
  </w:style>
  <w:style w:type="character" w:styleId="ListLabel237" w:customStyle="1">
    <w:name w:val="ListLabel 237"/>
    <w:qFormat/>
    <w:rPr>
      <w:rFonts w:cs="OpenSymbol"/>
    </w:rPr>
  </w:style>
  <w:style w:type="character" w:styleId="ListLabel238" w:customStyle="1">
    <w:name w:val="ListLabel 238"/>
    <w:qFormat/>
    <w:rPr>
      <w:rFonts w:cs="OpenSymbol"/>
    </w:rPr>
  </w:style>
  <w:style w:type="character" w:styleId="ListLabel239" w:customStyle="1">
    <w:name w:val="ListLabel 239"/>
    <w:qFormat/>
    <w:rPr>
      <w:rFonts w:ascii="Courier New" w:hAnsi="Courier New" w:eastAsia="SimSun" w:cs="Tahoma"/>
      <w:color w:val="0000FF"/>
      <w:kern w:val="2"/>
      <w:sz w:val="24"/>
      <w:szCs w:val="24"/>
      <w:u w:val="single"/>
    </w:rPr>
  </w:style>
  <w:style w:type="character" w:styleId="ListLabel240" w:customStyle="1">
    <w:name w:val="ListLabel 240"/>
    <w:qFormat/>
    <w:rPr>
      <w:rFonts w:ascii="Courier New" w:hAnsi="Courier New" w:cs="Courier New"/>
      <w:b/>
      <w:sz w:val="24"/>
      <w:szCs w:val="24"/>
    </w:rPr>
  </w:style>
  <w:style w:type="character" w:styleId="ListLabel241" w:customStyle="1">
    <w:name w:val="ListLabel 241"/>
    <w:qFormat/>
    <w:rPr>
      <w:rFonts w:ascii="Courier New" w:hAnsi="Courier New"/>
      <w:b w:val="false"/>
      <w:sz w:val="24"/>
    </w:rPr>
  </w:style>
  <w:style w:type="character" w:styleId="ListLabel242" w:customStyle="1">
    <w:name w:val="ListLabel 242"/>
    <w:qFormat/>
    <w:rPr>
      <w:rFonts w:ascii="Courier New" w:hAnsi="Courier New" w:cs="Courier New"/>
      <w:sz w:val="24"/>
      <w:szCs w:val="24"/>
    </w:rPr>
  </w:style>
  <w:style w:type="character" w:styleId="ListLabel243" w:customStyle="1">
    <w:name w:val="ListLabel 243"/>
    <w:qFormat/>
    <w:rPr>
      <w:rFonts w:cs="Courier New"/>
    </w:rPr>
  </w:style>
  <w:style w:type="character" w:styleId="ListLabel244" w:customStyle="1">
    <w:name w:val="ListLabel 244"/>
    <w:qFormat/>
    <w:rPr>
      <w:rFonts w:cs="Wingdings"/>
    </w:rPr>
  </w:style>
  <w:style w:type="character" w:styleId="ListLabel245" w:customStyle="1">
    <w:name w:val="ListLabel 245"/>
    <w:qFormat/>
    <w:rPr>
      <w:rFonts w:cs="Symbol"/>
    </w:rPr>
  </w:style>
  <w:style w:type="character" w:styleId="ListLabel246" w:customStyle="1">
    <w:name w:val="ListLabel 246"/>
    <w:qFormat/>
    <w:rPr>
      <w:rFonts w:cs="Courier New"/>
    </w:rPr>
  </w:style>
  <w:style w:type="character" w:styleId="ListLabel247" w:customStyle="1">
    <w:name w:val="ListLabel 247"/>
    <w:qFormat/>
    <w:rPr>
      <w:rFonts w:cs="Wingdings"/>
    </w:rPr>
  </w:style>
  <w:style w:type="character" w:styleId="ListLabel248" w:customStyle="1">
    <w:name w:val="ListLabel 248"/>
    <w:qFormat/>
    <w:rPr>
      <w:rFonts w:cs="Symbol"/>
    </w:rPr>
  </w:style>
  <w:style w:type="character" w:styleId="ListLabel249" w:customStyle="1">
    <w:name w:val="ListLabel 249"/>
    <w:qFormat/>
    <w:rPr>
      <w:rFonts w:cs="Courier New"/>
    </w:rPr>
  </w:style>
  <w:style w:type="character" w:styleId="ListLabel250" w:customStyle="1">
    <w:name w:val="ListLabel 250"/>
    <w:qFormat/>
    <w:rPr>
      <w:rFonts w:cs="Wingdings"/>
    </w:rPr>
  </w:style>
  <w:style w:type="character" w:styleId="ListLabel251" w:customStyle="1">
    <w:name w:val="ListLabel 251"/>
    <w:qFormat/>
    <w:rPr>
      <w:rFonts w:ascii="Calibri" w:hAnsi="Calibri" w:cs="Symbol"/>
      <w:sz w:val="24"/>
    </w:rPr>
  </w:style>
  <w:style w:type="character" w:styleId="ListLabel252" w:customStyle="1">
    <w:name w:val="ListLabel 252"/>
    <w:qFormat/>
    <w:rPr>
      <w:rFonts w:cs="Symbol"/>
    </w:rPr>
  </w:style>
  <w:style w:type="character" w:styleId="ListLabel253" w:customStyle="1">
    <w:name w:val="ListLabel 253"/>
    <w:qFormat/>
    <w:rPr>
      <w:rFonts w:ascii="Courier New" w:hAnsi="Courier New" w:cs="Courier New"/>
      <w:sz w:val="24"/>
      <w:szCs w:val="24"/>
    </w:rPr>
  </w:style>
  <w:style w:type="character" w:styleId="ListLabel254" w:customStyle="1">
    <w:name w:val="ListLabel 254"/>
    <w:qFormat/>
    <w:rPr>
      <w:rFonts w:cs="Courier New"/>
    </w:rPr>
  </w:style>
  <w:style w:type="character" w:styleId="ListLabel255" w:customStyle="1">
    <w:name w:val="ListLabel 255"/>
    <w:qFormat/>
    <w:rPr>
      <w:rFonts w:cs="Wingdings"/>
    </w:rPr>
  </w:style>
  <w:style w:type="character" w:styleId="ListLabel256" w:customStyle="1">
    <w:name w:val="ListLabel 256"/>
    <w:qFormat/>
    <w:rPr>
      <w:rFonts w:cs="Symbol"/>
    </w:rPr>
  </w:style>
  <w:style w:type="character" w:styleId="ListLabel257" w:customStyle="1">
    <w:name w:val="ListLabel 257"/>
    <w:qFormat/>
    <w:rPr>
      <w:rFonts w:cs="Courier New"/>
    </w:rPr>
  </w:style>
  <w:style w:type="character" w:styleId="ListLabel258" w:customStyle="1">
    <w:name w:val="ListLabel 258"/>
    <w:qFormat/>
    <w:rPr>
      <w:rFonts w:cs="Wingdings"/>
    </w:rPr>
  </w:style>
  <w:style w:type="character" w:styleId="ListLabel259" w:customStyle="1">
    <w:name w:val="ListLabel 259"/>
    <w:qFormat/>
    <w:rPr>
      <w:rFonts w:cs="Symbol"/>
    </w:rPr>
  </w:style>
  <w:style w:type="character" w:styleId="ListLabel260" w:customStyle="1">
    <w:name w:val="ListLabel 260"/>
    <w:qFormat/>
    <w:rPr>
      <w:rFonts w:cs="Courier New"/>
    </w:rPr>
  </w:style>
  <w:style w:type="character" w:styleId="ListLabel261" w:customStyle="1">
    <w:name w:val="ListLabel 261"/>
    <w:qFormat/>
    <w:rPr>
      <w:rFonts w:cs="Wingdings"/>
    </w:rPr>
  </w:style>
  <w:style w:type="character" w:styleId="ListLabel262" w:customStyle="1">
    <w:name w:val="ListLabel 262"/>
    <w:qFormat/>
    <w:rPr>
      <w:rFonts w:ascii="Courier New" w:hAnsi="Courier New" w:cs="Arial"/>
      <w:sz w:val="24"/>
    </w:rPr>
  </w:style>
  <w:style w:type="character" w:styleId="ListLabel263" w:customStyle="1">
    <w:name w:val="ListLabel 263"/>
    <w:qFormat/>
    <w:rPr>
      <w:rFonts w:cs="Courier New"/>
    </w:rPr>
  </w:style>
  <w:style w:type="character" w:styleId="ListLabel264" w:customStyle="1">
    <w:name w:val="ListLabel 264"/>
    <w:qFormat/>
    <w:rPr>
      <w:rFonts w:cs="Wingdings"/>
    </w:rPr>
  </w:style>
  <w:style w:type="character" w:styleId="ListLabel265" w:customStyle="1">
    <w:name w:val="ListLabel 265"/>
    <w:qFormat/>
    <w:rPr>
      <w:rFonts w:cs="Symbol"/>
    </w:rPr>
  </w:style>
  <w:style w:type="character" w:styleId="ListLabel266" w:customStyle="1">
    <w:name w:val="ListLabel 266"/>
    <w:qFormat/>
    <w:rPr>
      <w:rFonts w:cs="Courier New"/>
    </w:rPr>
  </w:style>
  <w:style w:type="character" w:styleId="ListLabel267" w:customStyle="1">
    <w:name w:val="ListLabel 267"/>
    <w:qFormat/>
    <w:rPr>
      <w:rFonts w:cs="Wingdings"/>
    </w:rPr>
  </w:style>
  <w:style w:type="character" w:styleId="ListLabel268" w:customStyle="1">
    <w:name w:val="ListLabel 268"/>
    <w:qFormat/>
    <w:rPr>
      <w:rFonts w:cs="Symbol"/>
    </w:rPr>
  </w:style>
  <w:style w:type="character" w:styleId="ListLabel269" w:customStyle="1">
    <w:name w:val="ListLabel 269"/>
    <w:qFormat/>
    <w:rPr>
      <w:rFonts w:cs="Courier New"/>
    </w:rPr>
  </w:style>
  <w:style w:type="character" w:styleId="ListLabel270" w:customStyle="1">
    <w:name w:val="ListLabel 270"/>
    <w:qFormat/>
    <w:rPr>
      <w:rFonts w:cs="Wingdings"/>
    </w:rPr>
  </w:style>
  <w:style w:type="character" w:styleId="ListLabel271" w:customStyle="1">
    <w:name w:val="ListLabel 271"/>
    <w:qFormat/>
    <w:rPr>
      <w:rFonts w:ascii="Courier New" w:hAnsi="Courier New" w:cs="Calibri Light"/>
      <w:sz w:val="24"/>
    </w:rPr>
  </w:style>
  <w:style w:type="character" w:styleId="ListLabel272" w:customStyle="1">
    <w:name w:val="ListLabel 272"/>
    <w:qFormat/>
    <w:rPr>
      <w:rFonts w:cs="Courier New"/>
    </w:rPr>
  </w:style>
  <w:style w:type="character" w:styleId="ListLabel273" w:customStyle="1">
    <w:name w:val="ListLabel 273"/>
    <w:qFormat/>
    <w:rPr>
      <w:rFonts w:cs="Wingdings"/>
    </w:rPr>
  </w:style>
  <w:style w:type="character" w:styleId="ListLabel274" w:customStyle="1">
    <w:name w:val="ListLabel 274"/>
    <w:qFormat/>
    <w:rPr>
      <w:rFonts w:cs="Symbol"/>
    </w:rPr>
  </w:style>
  <w:style w:type="character" w:styleId="ListLabel275" w:customStyle="1">
    <w:name w:val="ListLabel 275"/>
    <w:qFormat/>
    <w:rPr>
      <w:rFonts w:cs="Courier New"/>
    </w:rPr>
  </w:style>
  <w:style w:type="character" w:styleId="ListLabel276" w:customStyle="1">
    <w:name w:val="ListLabel 276"/>
    <w:qFormat/>
    <w:rPr>
      <w:rFonts w:cs="Wingdings"/>
    </w:rPr>
  </w:style>
  <w:style w:type="character" w:styleId="ListLabel277" w:customStyle="1">
    <w:name w:val="ListLabel 277"/>
    <w:qFormat/>
    <w:rPr>
      <w:rFonts w:cs="Symbol"/>
    </w:rPr>
  </w:style>
  <w:style w:type="character" w:styleId="ListLabel278" w:customStyle="1">
    <w:name w:val="ListLabel 278"/>
    <w:qFormat/>
    <w:rPr>
      <w:rFonts w:cs="Courier New"/>
    </w:rPr>
  </w:style>
  <w:style w:type="character" w:styleId="ListLabel279" w:customStyle="1">
    <w:name w:val="ListLabel 279"/>
    <w:qFormat/>
    <w:rPr>
      <w:rFonts w:cs="Wingdings"/>
    </w:rPr>
  </w:style>
  <w:style w:type="character" w:styleId="ListLabel280" w:customStyle="1">
    <w:name w:val="ListLabel 280"/>
    <w:qFormat/>
    <w:rPr>
      <w:rFonts w:ascii="Courier New" w:hAnsi="Courier New" w:cs="Calibri Light"/>
      <w:sz w:val="24"/>
    </w:rPr>
  </w:style>
  <w:style w:type="character" w:styleId="ListLabel281" w:customStyle="1">
    <w:name w:val="ListLabel 281"/>
    <w:qFormat/>
    <w:rPr>
      <w:rFonts w:cs="Courier New"/>
    </w:rPr>
  </w:style>
  <w:style w:type="character" w:styleId="ListLabel282" w:customStyle="1">
    <w:name w:val="ListLabel 282"/>
    <w:qFormat/>
    <w:rPr>
      <w:rFonts w:cs="Wingdings"/>
    </w:rPr>
  </w:style>
  <w:style w:type="character" w:styleId="ListLabel283" w:customStyle="1">
    <w:name w:val="ListLabel 283"/>
    <w:qFormat/>
    <w:rPr>
      <w:rFonts w:cs="Symbol"/>
    </w:rPr>
  </w:style>
  <w:style w:type="character" w:styleId="ListLabel284" w:customStyle="1">
    <w:name w:val="ListLabel 284"/>
    <w:qFormat/>
    <w:rPr>
      <w:rFonts w:cs="Courier New"/>
    </w:rPr>
  </w:style>
  <w:style w:type="character" w:styleId="ListLabel285" w:customStyle="1">
    <w:name w:val="ListLabel 285"/>
    <w:qFormat/>
    <w:rPr>
      <w:rFonts w:cs="Wingdings"/>
    </w:rPr>
  </w:style>
  <w:style w:type="character" w:styleId="ListLabel286" w:customStyle="1">
    <w:name w:val="ListLabel 286"/>
    <w:qFormat/>
    <w:rPr>
      <w:rFonts w:cs="Symbol"/>
    </w:rPr>
  </w:style>
  <w:style w:type="character" w:styleId="ListLabel287" w:customStyle="1">
    <w:name w:val="ListLabel 287"/>
    <w:qFormat/>
    <w:rPr>
      <w:rFonts w:cs="Courier New"/>
    </w:rPr>
  </w:style>
  <w:style w:type="character" w:styleId="ListLabel288" w:customStyle="1">
    <w:name w:val="ListLabel 288"/>
    <w:qFormat/>
    <w:rPr>
      <w:rFonts w:cs="Wingdings"/>
    </w:rPr>
  </w:style>
  <w:style w:type="character" w:styleId="ListLabel289" w:customStyle="1">
    <w:name w:val="ListLabel 289"/>
    <w:qFormat/>
    <w:rPr>
      <w:rFonts w:ascii="Courier New" w:hAnsi="Courier New" w:cs="Calibri Light"/>
      <w:sz w:val="24"/>
    </w:rPr>
  </w:style>
  <w:style w:type="character" w:styleId="ListLabel290" w:customStyle="1">
    <w:name w:val="ListLabel 290"/>
    <w:qFormat/>
    <w:rPr>
      <w:rFonts w:cs="Courier New"/>
    </w:rPr>
  </w:style>
  <w:style w:type="character" w:styleId="ListLabel291" w:customStyle="1">
    <w:name w:val="ListLabel 291"/>
    <w:qFormat/>
    <w:rPr>
      <w:rFonts w:cs="Wingdings"/>
    </w:rPr>
  </w:style>
  <w:style w:type="character" w:styleId="ListLabel292" w:customStyle="1">
    <w:name w:val="ListLabel 292"/>
    <w:qFormat/>
    <w:rPr>
      <w:rFonts w:cs="Symbol"/>
    </w:rPr>
  </w:style>
  <w:style w:type="character" w:styleId="ListLabel293" w:customStyle="1">
    <w:name w:val="ListLabel 293"/>
    <w:qFormat/>
    <w:rPr>
      <w:rFonts w:cs="Courier New"/>
    </w:rPr>
  </w:style>
  <w:style w:type="character" w:styleId="ListLabel294" w:customStyle="1">
    <w:name w:val="ListLabel 294"/>
    <w:qFormat/>
    <w:rPr>
      <w:rFonts w:cs="Wingdings"/>
    </w:rPr>
  </w:style>
  <w:style w:type="character" w:styleId="ListLabel295" w:customStyle="1">
    <w:name w:val="ListLabel 295"/>
    <w:qFormat/>
    <w:rPr>
      <w:rFonts w:cs="Symbol"/>
    </w:rPr>
  </w:style>
  <w:style w:type="character" w:styleId="ListLabel296" w:customStyle="1">
    <w:name w:val="ListLabel 296"/>
    <w:qFormat/>
    <w:rPr>
      <w:rFonts w:cs="Courier New"/>
    </w:rPr>
  </w:style>
  <w:style w:type="character" w:styleId="ListLabel297" w:customStyle="1">
    <w:name w:val="ListLabel 297"/>
    <w:qFormat/>
    <w:rPr>
      <w:rFonts w:cs="Wingdings"/>
    </w:rPr>
  </w:style>
  <w:style w:type="character" w:styleId="ListLabel298" w:customStyle="1">
    <w:name w:val="ListLabel 298"/>
    <w:qFormat/>
    <w:rPr>
      <w:rFonts w:ascii="Courier New" w:hAnsi="Courier New" w:cs="Calibri Light"/>
      <w:sz w:val="24"/>
    </w:rPr>
  </w:style>
  <w:style w:type="character" w:styleId="ListLabel299" w:customStyle="1">
    <w:name w:val="ListLabel 299"/>
    <w:qFormat/>
    <w:rPr>
      <w:rFonts w:cs="Courier New"/>
    </w:rPr>
  </w:style>
  <w:style w:type="character" w:styleId="ListLabel300" w:customStyle="1">
    <w:name w:val="ListLabel 300"/>
    <w:qFormat/>
    <w:rPr>
      <w:rFonts w:cs="Wingdings"/>
    </w:rPr>
  </w:style>
  <w:style w:type="character" w:styleId="ListLabel301" w:customStyle="1">
    <w:name w:val="ListLabel 301"/>
    <w:qFormat/>
    <w:rPr>
      <w:rFonts w:cs="Symbol"/>
    </w:rPr>
  </w:style>
  <w:style w:type="character" w:styleId="ListLabel302" w:customStyle="1">
    <w:name w:val="ListLabel 302"/>
    <w:qFormat/>
    <w:rPr>
      <w:rFonts w:cs="Courier New"/>
    </w:rPr>
  </w:style>
  <w:style w:type="character" w:styleId="ListLabel303" w:customStyle="1">
    <w:name w:val="ListLabel 303"/>
    <w:qFormat/>
    <w:rPr>
      <w:rFonts w:cs="Wingdings"/>
    </w:rPr>
  </w:style>
  <w:style w:type="character" w:styleId="ListLabel304" w:customStyle="1">
    <w:name w:val="ListLabel 304"/>
    <w:qFormat/>
    <w:rPr>
      <w:rFonts w:cs="Symbol"/>
    </w:rPr>
  </w:style>
  <w:style w:type="character" w:styleId="ListLabel305" w:customStyle="1">
    <w:name w:val="ListLabel 305"/>
    <w:qFormat/>
    <w:rPr>
      <w:rFonts w:cs="Courier New"/>
    </w:rPr>
  </w:style>
  <w:style w:type="character" w:styleId="ListLabel306" w:customStyle="1">
    <w:name w:val="ListLabel 306"/>
    <w:qFormat/>
    <w:rPr>
      <w:rFonts w:cs="Wingdings"/>
    </w:rPr>
  </w:style>
  <w:style w:type="character" w:styleId="ListLabel307" w:customStyle="1">
    <w:name w:val="ListLabel 307"/>
    <w:qFormat/>
    <w:rPr>
      <w:rFonts w:ascii="Courier New" w:hAnsi="Courier New" w:cs="Calibri Light"/>
      <w:sz w:val="24"/>
    </w:rPr>
  </w:style>
  <w:style w:type="character" w:styleId="ListLabel308" w:customStyle="1">
    <w:name w:val="ListLabel 308"/>
    <w:qFormat/>
    <w:rPr>
      <w:rFonts w:cs="Courier New"/>
    </w:rPr>
  </w:style>
  <w:style w:type="character" w:styleId="ListLabel309" w:customStyle="1">
    <w:name w:val="ListLabel 309"/>
    <w:qFormat/>
    <w:rPr>
      <w:rFonts w:cs="Wingdings"/>
    </w:rPr>
  </w:style>
  <w:style w:type="character" w:styleId="ListLabel310" w:customStyle="1">
    <w:name w:val="ListLabel 310"/>
    <w:qFormat/>
    <w:rPr>
      <w:rFonts w:cs="Symbol"/>
    </w:rPr>
  </w:style>
  <w:style w:type="character" w:styleId="ListLabel311" w:customStyle="1">
    <w:name w:val="ListLabel 311"/>
    <w:qFormat/>
    <w:rPr>
      <w:rFonts w:cs="Courier New"/>
    </w:rPr>
  </w:style>
  <w:style w:type="character" w:styleId="ListLabel312" w:customStyle="1">
    <w:name w:val="ListLabel 312"/>
    <w:qFormat/>
    <w:rPr>
      <w:rFonts w:cs="Wingdings"/>
    </w:rPr>
  </w:style>
  <w:style w:type="character" w:styleId="ListLabel313" w:customStyle="1">
    <w:name w:val="ListLabel 313"/>
    <w:qFormat/>
    <w:rPr>
      <w:rFonts w:cs="Symbol"/>
    </w:rPr>
  </w:style>
  <w:style w:type="character" w:styleId="ListLabel314" w:customStyle="1">
    <w:name w:val="ListLabel 314"/>
    <w:qFormat/>
    <w:rPr>
      <w:rFonts w:cs="Courier New"/>
    </w:rPr>
  </w:style>
  <w:style w:type="character" w:styleId="ListLabel315" w:customStyle="1">
    <w:name w:val="ListLabel 315"/>
    <w:qFormat/>
    <w:rPr>
      <w:rFonts w:cs="Wingdings"/>
    </w:rPr>
  </w:style>
  <w:style w:type="character" w:styleId="ListLabel316" w:customStyle="1">
    <w:name w:val="ListLabel 316"/>
    <w:qFormat/>
    <w:rPr>
      <w:rFonts w:ascii="Courier New" w:hAnsi="Courier New" w:eastAsia="SimSun" w:cs="Tahoma"/>
      <w:color w:val="0000FF"/>
      <w:kern w:val="2"/>
      <w:sz w:val="24"/>
      <w:szCs w:val="24"/>
      <w:u w:val="single"/>
    </w:rPr>
  </w:style>
  <w:style w:type="character" w:styleId="ListLabel317" w:customStyle="1">
    <w:name w:val="ListLabel 317"/>
    <w:qFormat/>
    <w:rPr>
      <w:rFonts w:ascii="Courier New" w:hAnsi="Courier New" w:cs="Courier New"/>
      <w:b/>
      <w:sz w:val="24"/>
      <w:szCs w:val="24"/>
    </w:rPr>
  </w:style>
  <w:style w:type="character" w:styleId="ListLabel318" w:customStyle="1">
    <w:name w:val="ListLabel 318"/>
    <w:qFormat/>
    <w:rPr>
      <w:rFonts w:ascii="Courier New" w:hAnsi="Courier New"/>
      <w:b w:val="false"/>
      <w:sz w:val="24"/>
    </w:rPr>
  </w:style>
  <w:style w:type="character" w:styleId="ListLabel319" w:customStyle="1">
    <w:name w:val="ListLabel 319"/>
    <w:qFormat/>
    <w:rPr>
      <w:rFonts w:ascii="Courier New" w:hAnsi="Courier New" w:cs="Courier New"/>
      <w:sz w:val="24"/>
      <w:szCs w:val="24"/>
    </w:rPr>
  </w:style>
  <w:style w:type="character" w:styleId="ListLabel320" w:customStyle="1">
    <w:name w:val="ListLabel 320"/>
    <w:qFormat/>
    <w:rPr>
      <w:rFonts w:cs="Courier New"/>
    </w:rPr>
  </w:style>
  <w:style w:type="character" w:styleId="ListLabel321" w:customStyle="1">
    <w:name w:val="ListLabel 321"/>
    <w:qFormat/>
    <w:rPr>
      <w:rFonts w:cs="Wingdings"/>
    </w:rPr>
  </w:style>
  <w:style w:type="character" w:styleId="ListLabel322" w:customStyle="1">
    <w:name w:val="ListLabel 322"/>
    <w:qFormat/>
    <w:rPr>
      <w:rFonts w:cs="Symbol"/>
    </w:rPr>
  </w:style>
  <w:style w:type="character" w:styleId="ListLabel323" w:customStyle="1">
    <w:name w:val="ListLabel 323"/>
    <w:qFormat/>
    <w:rPr>
      <w:rFonts w:cs="Courier New"/>
    </w:rPr>
  </w:style>
  <w:style w:type="character" w:styleId="ListLabel324" w:customStyle="1">
    <w:name w:val="ListLabel 324"/>
    <w:qFormat/>
    <w:rPr>
      <w:rFonts w:cs="Wingdings"/>
    </w:rPr>
  </w:style>
  <w:style w:type="character" w:styleId="ListLabel325" w:customStyle="1">
    <w:name w:val="ListLabel 325"/>
    <w:qFormat/>
    <w:rPr>
      <w:rFonts w:cs="Symbol"/>
    </w:rPr>
  </w:style>
  <w:style w:type="character" w:styleId="ListLabel326" w:customStyle="1">
    <w:name w:val="ListLabel 326"/>
    <w:qFormat/>
    <w:rPr>
      <w:rFonts w:cs="Courier New"/>
    </w:rPr>
  </w:style>
  <w:style w:type="character" w:styleId="ListLabel327" w:customStyle="1">
    <w:name w:val="ListLabel 327"/>
    <w:qFormat/>
    <w:rPr>
      <w:rFonts w:cs="Wingdings"/>
    </w:rPr>
  </w:style>
  <w:style w:type="character" w:styleId="ListLabel328" w:customStyle="1">
    <w:name w:val="ListLabel 328"/>
    <w:qFormat/>
    <w:rPr>
      <w:rFonts w:ascii="Calibri" w:hAnsi="Calibri" w:cs="Symbol"/>
      <w:sz w:val="24"/>
    </w:rPr>
  </w:style>
  <w:style w:type="character" w:styleId="ListLabel329" w:customStyle="1">
    <w:name w:val="ListLabel 329"/>
    <w:qFormat/>
    <w:rPr>
      <w:rFonts w:cs="Symbol"/>
    </w:rPr>
  </w:style>
  <w:style w:type="character" w:styleId="ListLabel330" w:customStyle="1">
    <w:name w:val="ListLabel 330"/>
    <w:qFormat/>
    <w:rPr>
      <w:rFonts w:ascii="Courier New" w:hAnsi="Courier New" w:cs="Courier New"/>
      <w:sz w:val="24"/>
      <w:szCs w:val="24"/>
    </w:rPr>
  </w:style>
  <w:style w:type="character" w:styleId="ListLabel331" w:customStyle="1">
    <w:name w:val="ListLabel 331"/>
    <w:qFormat/>
    <w:rPr>
      <w:rFonts w:cs="Courier New"/>
    </w:rPr>
  </w:style>
  <w:style w:type="character" w:styleId="ListLabel332" w:customStyle="1">
    <w:name w:val="ListLabel 332"/>
    <w:qFormat/>
    <w:rPr>
      <w:rFonts w:cs="Wingdings"/>
    </w:rPr>
  </w:style>
  <w:style w:type="character" w:styleId="ListLabel333" w:customStyle="1">
    <w:name w:val="ListLabel 333"/>
    <w:qFormat/>
    <w:rPr>
      <w:rFonts w:cs="Symbol"/>
    </w:rPr>
  </w:style>
  <w:style w:type="character" w:styleId="ListLabel334" w:customStyle="1">
    <w:name w:val="ListLabel 334"/>
    <w:qFormat/>
    <w:rPr>
      <w:rFonts w:cs="Courier New"/>
    </w:rPr>
  </w:style>
  <w:style w:type="character" w:styleId="ListLabel335" w:customStyle="1">
    <w:name w:val="ListLabel 335"/>
    <w:qFormat/>
    <w:rPr>
      <w:rFonts w:cs="Wingdings"/>
    </w:rPr>
  </w:style>
  <w:style w:type="character" w:styleId="ListLabel336" w:customStyle="1">
    <w:name w:val="ListLabel 336"/>
    <w:qFormat/>
    <w:rPr>
      <w:rFonts w:cs="Symbol"/>
    </w:rPr>
  </w:style>
  <w:style w:type="character" w:styleId="ListLabel337" w:customStyle="1">
    <w:name w:val="ListLabel 337"/>
    <w:qFormat/>
    <w:rPr>
      <w:rFonts w:cs="Courier New"/>
    </w:rPr>
  </w:style>
  <w:style w:type="character" w:styleId="ListLabel338" w:customStyle="1">
    <w:name w:val="ListLabel 338"/>
    <w:qFormat/>
    <w:rPr>
      <w:rFonts w:cs="Wingdings"/>
    </w:rPr>
  </w:style>
  <w:style w:type="character" w:styleId="ListLabel339" w:customStyle="1">
    <w:name w:val="ListLabel 339"/>
    <w:qFormat/>
    <w:rPr>
      <w:rFonts w:ascii="Courier New" w:hAnsi="Courier New" w:cs="Arial"/>
      <w:sz w:val="24"/>
    </w:rPr>
  </w:style>
  <w:style w:type="character" w:styleId="ListLabel340" w:customStyle="1">
    <w:name w:val="ListLabel 340"/>
    <w:qFormat/>
    <w:rPr>
      <w:rFonts w:cs="Courier New"/>
    </w:rPr>
  </w:style>
  <w:style w:type="character" w:styleId="ListLabel341" w:customStyle="1">
    <w:name w:val="ListLabel 341"/>
    <w:qFormat/>
    <w:rPr>
      <w:rFonts w:cs="Wingdings"/>
    </w:rPr>
  </w:style>
  <w:style w:type="character" w:styleId="ListLabel342" w:customStyle="1">
    <w:name w:val="ListLabel 342"/>
    <w:qFormat/>
    <w:rPr>
      <w:rFonts w:cs="Symbol"/>
    </w:rPr>
  </w:style>
  <w:style w:type="character" w:styleId="ListLabel343" w:customStyle="1">
    <w:name w:val="ListLabel 343"/>
    <w:qFormat/>
    <w:rPr>
      <w:rFonts w:cs="Courier New"/>
    </w:rPr>
  </w:style>
  <w:style w:type="character" w:styleId="ListLabel344" w:customStyle="1">
    <w:name w:val="ListLabel 344"/>
    <w:qFormat/>
    <w:rPr>
      <w:rFonts w:cs="Wingdings"/>
    </w:rPr>
  </w:style>
  <w:style w:type="character" w:styleId="ListLabel345" w:customStyle="1">
    <w:name w:val="ListLabel 345"/>
    <w:qFormat/>
    <w:rPr>
      <w:rFonts w:cs="Symbol"/>
    </w:rPr>
  </w:style>
  <w:style w:type="character" w:styleId="ListLabel346" w:customStyle="1">
    <w:name w:val="ListLabel 346"/>
    <w:qFormat/>
    <w:rPr>
      <w:rFonts w:cs="Courier New"/>
    </w:rPr>
  </w:style>
  <w:style w:type="character" w:styleId="ListLabel347" w:customStyle="1">
    <w:name w:val="ListLabel 347"/>
    <w:qFormat/>
    <w:rPr>
      <w:rFonts w:cs="Wingdings"/>
    </w:rPr>
  </w:style>
  <w:style w:type="character" w:styleId="ListLabel348" w:customStyle="1">
    <w:name w:val="ListLabel 348"/>
    <w:qFormat/>
    <w:rPr>
      <w:rFonts w:ascii="Courier New" w:hAnsi="Courier New" w:cs="Calibri Light"/>
      <w:sz w:val="24"/>
    </w:rPr>
  </w:style>
  <w:style w:type="character" w:styleId="ListLabel349" w:customStyle="1">
    <w:name w:val="ListLabel 349"/>
    <w:qFormat/>
    <w:rPr>
      <w:rFonts w:cs="Courier New"/>
    </w:rPr>
  </w:style>
  <w:style w:type="character" w:styleId="ListLabel350" w:customStyle="1">
    <w:name w:val="ListLabel 350"/>
    <w:qFormat/>
    <w:rPr>
      <w:rFonts w:cs="Wingdings"/>
    </w:rPr>
  </w:style>
  <w:style w:type="character" w:styleId="ListLabel351" w:customStyle="1">
    <w:name w:val="ListLabel 351"/>
    <w:qFormat/>
    <w:rPr>
      <w:rFonts w:cs="Symbol"/>
    </w:rPr>
  </w:style>
  <w:style w:type="character" w:styleId="ListLabel352" w:customStyle="1">
    <w:name w:val="ListLabel 352"/>
    <w:qFormat/>
    <w:rPr>
      <w:rFonts w:cs="Courier New"/>
    </w:rPr>
  </w:style>
  <w:style w:type="character" w:styleId="ListLabel353" w:customStyle="1">
    <w:name w:val="ListLabel 353"/>
    <w:qFormat/>
    <w:rPr>
      <w:rFonts w:cs="Wingdings"/>
    </w:rPr>
  </w:style>
  <w:style w:type="character" w:styleId="ListLabel354" w:customStyle="1">
    <w:name w:val="ListLabel 354"/>
    <w:qFormat/>
    <w:rPr>
      <w:rFonts w:cs="Symbol"/>
    </w:rPr>
  </w:style>
  <w:style w:type="character" w:styleId="ListLabel355" w:customStyle="1">
    <w:name w:val="ListLabel 355"/>
    <w:qFormat/>
    <w:rPr>
      <w:rFonts w:cs="Courier New"/>
    </w:rPr>
  </w:style>
  <w:style w:type="character" w:styleId="ListLabel356" w:customStyle="1">
    <w:name w:val="ListLabel 356"/>
    <w:qFormat/>
    <w:rPr>
      <w:rFonts w:cs="Wingdings"/>
    </w:rPr>
  </w:style>
  <w:style w:type="character" w:styleId="ListLabel357" w:customStyle="1">
    <w:name w:val="ListLabel 357"/>
    <w:qFormat/>
    <w:rPr>
      <w:rFonts w:ascii="Courier New" w:hAnsi="Courier New" w:cs="Calibri Light"/>
      <w:sz w:val="24"/>
    </w:rPr>
  </w:style>
  <w:style w:type="character" w:styleId="ListLabel358" w:customStyle="1">
    <w:name w:val="ListLabel 358"/>
    <w:qFormat/>
    <w:rPr>
      <w:rFonts w:cs="Courier New"/>
    </w:rPr>
  </w:style>
  <w:style w:type="character" w:styleId="ListLabel359" w:customStyle="1">
    <w:name w:val="ListLabel 359"/>
    <w:qFormat/>
    <w:rPr>
      <w:rFonts w:cs="Wingdings"/>
    </w:rPr>
  </w:style>
  <w:style w:type="character" w:styleId="ListLabel360" w:customStyle="1">
    <w:name w:val="ListLabel 360"/>
    <w:qFormat/>
    <w:rPr>
      <w:rFonts w:cs="Symbol"/>
    </w:rPr>
  </w:style>
  <w:style w:type="character" w:styleId="ListLabel361" w:customStyle="1">
    <w:name w:val="ListLabel 361"/>
    <w:qFormat/>
    <w:rPr>
      <w:rFonts w:cs="Courier New"/>
    </w:rPr>
  </w:style>
  <w:style w:type="character" w:styleId="ListLabel362" w:customStyle="1">
    <w:name w:val="ListLabel 362"/>
    <w:qFormat/>
    <w:rPr>
      <w:rFonts w:cs="Wingdings"/>
    </w:rPr>
  </w:style>
  <w:style w:type="character" w:styleId="ListLabel363" w:customStyle="1">
    <w:name w:val="ListLabel 363"/>
    <w:qFormat/>
    <w:rPr>
      <w:rFonts w:cs="Symbol"/>
    </w:rPr>
  </w:style>
  <w:style w:type="character" w:styleId="ListLabel364" w:customStyle="1">
    <w:name w:val="ListLabel 364"/>
    <w:qFormat/>
    <w:rPr>
      <w:rFonts w:cs="Courier New"/>
    </w:rPr>
  </w:style>
  <w:style w:type="character" w:styleId="ListLabel365" w:customStyle="1">
    <w:name w:val="ListLabel 365"/>
    <w:qFormat/>
    <w:rPr>
      <w:rFonts w:cs="Wingdings"/>
    </w:rPr>
  </w:style>
  <w:style w:type="character" w:styleId="ListLabel366" w:customStyle="1">
    <w:name w:val="ListLabel 366"/>
    <w:qFormat/>
    <w:rPr>
      <w:rFonts w:ascii="Courier New" w:hAnsi="Courier New" w:cs="Calibri Light"/>
      <w:sz w:val="24"/>
    </w:rPr>
  </w:style>
  <w:style w:type="character" w:styleId="ListLabel367" w:customStyle="1">
    <w:name w:val="ListLabel 367"/>
    <w:qFormat/>
    <w:rPr>
      <w:rFonts w:cs="Courier New"/>
    </w:rPr>
  </w:style>
  <w:style w:type="character" w:styleId="ListLabel368" w:customStyle="1">
    <w:name w:val="ListLabel 368"/>
    <w:qFormat/>
    <w:rPr>
      <w:rFonts w:cs="Wingdings"/>
    </w:rPr>
  </w:style>
  <w:style w:type="character" w:styleId="ListLabel369" w:customStyle="1">
    <w:name w:val="ListLabel 369"/>
    <w:qFormat/>
    <w:rPr>
      <w:rFonts w:cs="Symbol"/>
    </w:rPr>
  </w:style>
  <w:style w:type="character" w:styleId="ListLabel370" w:customStyle="1">
    <w:name w:val="ListLabel 370"/>
    <w:qFormat/>
    <w:rPr>
      <w:rFonts w:cs="Courier New"/>
    </w:rPr>
  </w:style>
  <w:style w:type="character" w:styleId="ListLabel371" w:customStyle="1">
    <w:name w:val="ListLabel 371"/>
    <w:qFormat/>
    <w:rPr>
      <w:rFonts w:cs="Wingdings"/>
    </w:rPr>
  </w:style>
  <w:style w:type="character" w:styleId="ListLabel372" w:customStyle="1">
    <w:name w:val="ListLabel 372"/>
    <w:qFormat/>
    <w:rPr>
      <w:rFonts w:cs="Symbol"/>
    </w:rPr>
  </w:style>
  <w:style w:type="character" w:styleId="ListLabel373" w:customStyle="1">
    <w:name w:val="ListLabel 373"/>
    <w:qFormat/>
    <w:rPr>
      <w:rFonts w:cs="Courier New"/>
    </w:rPr>
  </w:style>
  <w:style w:type="character" w:styleId="ListLabel374" w:customStyle="1">
    <w:name w:val="ListLabel 374"/>
    <w:qFormat/>
    <w:rPr>
      <w:rFonts w:cs="Wingdings"/>
    </w:rPr>
  </w:style>
  <w:style w:type="character" w:styleId="ListLabel375" w:customStyle="1">
    <w:name w:val="ListLabel 375"/>
    <w:qFormat/>
    <w:rPr>
      <w:rFonts w:ascii="Courier New" w:hAnsi="Courier New" w:cs="Calibri Light"/>
      <w:sz w:val="24"/>
    </w:rPr>
  </w:style>
  <w:style w:type="character" w:styleId="ListLabel376" w:customStyle="1">
    <w:name w:val="ListLabel 376"/>
    <w:qFormat/>
    <w:rPr>
      <w:rFonts w:cs="Courier New"/>
    </w:rPr>
  </w:style>
  <w:style w:type="character" w:styleId="ListLabel377" w:customStyle="1">
    <w:name w:val="ListLabel 377"/>
    <w:qFormat/>
    <w:rPr>
      <w:rFonts w:cs="Wingdings"/>
    </w:rPr>
  </w:style>
  <w:style w:type="character" w:styleId="ListLabel378" w:customStyle="1">
    <w:name w:val="ListLabel 378"/>
    <w:qFormat/>
    <w:rPr>
      <w:rFonts w:cs="Symbol"/>
    </w:rPr>
  </w:style>
  <w:style w:type="character" w:styleId="ListLabel379" w:customStyle="1">
    <w:name w:val="ListLabel 379"/>
    <w:qFormat/>
    <w:rPr>
      <w:rFonts w:cs="Courier New"/>
    </w:rPr>
  </w:style>
  <w:style w:type="character" w:styleId="ListLabel380" w:customStyle="1">
    <w:name w:val="ListLabel 380"/>
    <w:qFormat/>
    <w:rPr>
      <w:rFonts w:cs="Wingdings"/>
    </w:rPr>
  </w:style>
  <w:style w:type="character" w:styleId="ListLabel381" w:customStyle="1">
    <w:name w:val="ListLabel 381"/>
    <w:qFormat/>
    <w:rPr>
      <w:rFonts w:cs="Symbol"/>
    </w:rPr>
  </w:style>
  <w:style w:type="character" w:styleId="ListLabel382" w:customStyle="1">
    <w:name w:val="ListLabel 382"/>
    <w:qFormat/>
    <w:rPr>
      <w:rFonts w:cs="Courier New"/>
    </w:rPr>
  </w:style>
  <w:style w:type="character" w:styleId="ListLabel383" w:customStyle="1">
    <w:name w:val="ListLabel 383"/>
    <w:qFormat/>
    <w:rPr>
      <w:rFonts w:cs="Wingdings"/>
    </w:rPr>
  </w:style>
  <w:style w:type="character" w:styleId="ListLabel384" w:customStyle="1">
    <w:name w:val="ListLabel 384"/>
    <w:qFormat/>
    <w:rPr>
      <w:rFonts w:ascii="Courier New" w:hAnsi="Courier New" w:cs="Calibri Light"/>
      <w:sz w:val="24"/>
    </w:rPr>
  </w:style>
  <w:style w:type="character" w:styleId="ListLabel385" w:customStyle="1">
    <w:name w:val="ListLabel 385"/>
    <w:qFormat/>
    <w:rPr>
      <w:rFonts w:cs="Courier New"/>
    </w:rPr>
  </w:style>
  <w:style w:type="character" w:styleId="ListLabel386" w:customStyle="1">
    <w:name w:val="ListLabel 386"/>
    <w:qFormat/>
    <w:rPr>
      <w:rFonts w:cs="Wingdings"/>
    </w:rPr>
  </w:style>
  <w:style w:type="character" w:styleId="ListLabel387" w:customStyle="1">
    <w:name w:val="ListLabel 387"/>
    <w:qFormat/>
    <w:rPr>
      <w:rFonts w:cs="Symbol"/>
    </w:rPr>
  </w:style>
  <w:style w:type="character" w:styleId="ListLabel388" w:customStyle="1">
    <w:name w:val="ListLabel 388"/>
    <w:qFormat/>
    <w:rPr>
      <w:rFonts w:cs="Courier New"/>
    </w:rPr>
  </w:style>
  <w:style w:type="character" w:styleId="ListLabel389" w:customStyle="1">
    <w:name w:val="ListLabel 389"/>
    <w:qFormat/>
    <w:rPr>
      <w:rFonts w:cs="Wingdings"/>
    </w:rPr>
  </w:style>
  <w:style w:type="character" w:styleId="ListLabel390" w:customStyle="1">
    <w:name w:val="ListLabel 390"/>
    <w:qFormat/>
    <w:rPr>
      <w:rFonts w:cs="Symbol"/>
    </w:rPr>
  </w:style>
  <w:style w:type="character" w:styleId="ListLabel391" w:customStyle="1">
    <w:name w:val="ListLabel 391"/>
    <w:qFormat/>
    <w:rPr>
      <w:rFonts w:cs="Courier New"/>
    </w:rPr>
  </w:style>
  <w:style w:type="character" w:styleId="ListLabel392" w:customStyle="1">
    <w:name w:val="ListLabel 392"/>
    <w:qFormat/>
    <w:rPr>
      <w:rFonts w:cs="Wingdings"/>
    </w:rPr>
  </w:style>
  <w:style w:type="character" w:styleId="ListLabel393" w:customStyle="1">
    <w:name w:val="ListLabel 393"/>
    <w:qFormat/>
    <w:rPr>
      <w:rFonts w:ascii="Courier New" w:hAnsi="Courier New" w:eastAsia="SimSun" w:cs="Tahoma"/>
      <w:color w:val="0000FF"/>
      <w:kern w:val="2"/>
      <w:sz w:val="24"/>
      <w:szCs w:val="24"/>
      <w:u w:val="single"/>
    </w:rPr>
  </w:style>
  <w:style w:type="character" w:styleId="ListLabel394" w:customStyle="1">
    <w:name w:val="ListLabel 394"/>
    <w:qFormat/>
    <w:rPr>
      <w:rFonts w:ascii="Courier New" w:hAnsi="Courier New" w:cs="Courier New"/>
      <w:b/>
      <w:sz w:val="24"/>
      <w:szCs w:val="24"/>
    </w:rPr>
  </w:style>
  <w:style w:type="character" w:styleId="ListLabel395" w:customStyle="1">
    <w:name w:val="ListLabel 395"/>
    <w:qFormat/>
    <w:rPr>
      <w:rFonts w:ascii="Courier New" w:hAnsi="Courier New"/>
      <w:b w:val="false"/>
      <w:sz w:val="24"/>
    </w:rPr>
  </w:style>
  <w:style w:type="character" w:styleId="ListLabel396" w:customStyle="1">
    <w:name w:val="ListLabel 396"/>
    <w:qFormat/>
    <w:rPr>
      <w:rFonts w:ascii="Courier New" w:hAnsi="Courier New" w:cs="Courier New"/>
      <w:sz w:val="24"/>
      <w:szCs w:val="24"/>
    </w:rPr>
  </w:style>
  <w:style w:type="character" w:styleId="ListLabel397" w:customStyle="1">
    <w:name w:val="ListLabel 397"/>
    <w:qFormat/>
    <w:rPr>
      <w:rFonts w:cs="Courier New"/>
    </w:rPr>
  </w:style>
  <w:style w:type="character" w:styleId="ListLabel398" w:customStyle="1">
    <w:name w:val="ListLabel 398"/>
    <w:qFormat/>
    <w:rPr>
      <w:rFonts w:cs="Wingdings"/>
    </w:rPr>
  </w:style>
  <w:style w:type="character" w:styleId="ListLabel399" w:customStyle="1">
    <w:name w:val="ListLabel 399"/>
    <w:qFormat/>
    <w:rPr>
      <w:rFonts w:cs="Symbol"/>
    </w:rPr>
  </w:style>
  <w:style w:type="character" w:styleId="ListLabel400" w:customStyle="1">
    <w:name w:val="ListLabel 400"/>
    <w:qFormat/>
    <w:rPr>
      <w:rFonts w:cs="Courier New"/>
    </w:rPr>
  </w:style>
  <w:style w:type="character" w:styleId="ListLabel401" w:customStyle="1">
    <w:name w:val="ListLabel 401"/>
    <w:qFormat/>
    <w:rPr>
      <w:rFonts w:cs="Wingdings"/>
    </w:rPr>
  </w:style>
  <w:style w:type="character" w:styleId="ListLabel402" w:customStyle="1">
    <w:name w:val="ListLabel 402"/>
    <w:qFormat/>
    <w:rPr>
      <w:rFonts w:cs="Symbol"/>
    </w:rPr>
  </w:style>
  <w:style w:type="character" w:styleId="ListLabel403" w:customStyle="1">
    <w:name w:val="ListLabel 403"/>
    <w:qFormat/>
    <w:rPr>
      <w:rFonts w:cs="Courier New"/>
    </w:rPr>
  </w:style>
  <w:style w:type="character" w:styleId="ListLabel404" w:customStyle="1">
    <w:name w:val="ListLabel 404"/>
    <w:qFormat/>
    <w:rPr>
      <w:rFonts w:cs="Wingdings"/>
    </w:rPr>
  </w:style>
  <w:style w:type="character" w:styleId="ListLabel405" w:customStyle="1">
    <w:name w:val="ListLabel 405"/>
    <w:qFormat/>
    <w:rPr>
      <w:rFonts w:ascii="Calibri" w:hAnsi="Calibri" w:cs="Symbol"/>
      <w:sz w:val="24"/>
    </w:rPr>
  </w:style>
  <w:style w:type="character" w:styleId="ListLabel406" w:customStyle="1">
    <w:name w:val="ListLabel 406"/>
    <w:qFormat/>
    <w:rPr>
      <w:rFonts w:cs="Symbol"/>
    </w:rPr>
  </w:style>
  <w:style w:type="character" w:styleId="ListLabel407" w:customStyle="1">
    <w:name w:val="ListLabel 407"/>
    <w:qFormat/>
    <w:rPr>
      <w:rFonts w:ascii="Courier New" w:hAnsi="Courier New" w:cs="Courier New"/>
      <w:sz w:val="24"/>
      <w:szCs w:val="24"/>
    </w:rPr>
  </w:style>
  <w:style w:type="character" w:styleId="ListLabel408" w:customStyle="1">
    <w:name w:val="ListLabel 408"/>
    <w:qFormat/>
    <w:rPr>
      <w:rFonts w:cs="Courier New"/>
    </w:rPr>
  </w:style>
  <w:style w:type="character" w:styleId="ListLabel409" w:customStyle="1">
    <w:name w:val="ListLabel 409"/>
    <w:qFormat/>
    <w:rPr>
      <w:rFonts w:cs="Wingdings"/>
    </w:rPr>
  </w:style>
  <w:style w:type="character" w:styleId="ListLabel410" w:customStyle="1">
    <w:name w:val="ListLabel 410"/>
    <w:qFormat/>
    <w:rPr>
      <w:rFonts w:cs="Symbol"/>
    </w:rPr>
  </w:style>
  <w:style w:type="character" w:styleId="ListLabel411" w:customStyle="1">
    <w:name w:val="ListLabel 411"/>
    <w:qFormat/>
    <w:rPr>
      <w:rFonts w:cs="Courier New"/>
    </w:rPr>
  </w:style>
  <w:style w:type="character" w:styleId="ListLabel412" w:customStyle="1">
    <w:name w:val="ListLabel 412"/>
    <w:qFormat/>
    <w:rPr>
      <w:rFonts w:cs="Wingdings"/>
    </w:rPr>
  </w:style>
  <w:style w:type="character" w:styleId="ListLabel413" w:customStyle="1">
    <w:name w:val="ListLabel 413"/>
    <w:qFormat/>
    <w:rPr>
      <w:rFonts w:cs="Symbol"/>
    </w:rPr>
  </w:style>
  <w:style w:type="character" w:styleId="ListLabel414" w:customStyle="1">
    <w:name w:val="ListLabel 414"/>
    <w:qFormat/>
    <w:rPr>
      <w:rFonts w:cs="Courier New"/>
    </w:rPr>
  </w:style>
  <w:style w:type="character" w:styleId="ListLabel415" w:customStyle="1">
    <w:name w:val="ListLabel 415"/>
    <w:qFormat/>
    <w:rPr>
      <w:rFonts w:cs="Wingdings"/>
    </w:rPr>
  </w:style>
  <w:style w:type="character" w:styleId="ListLabel416" w:customStyle="1">
    <w:name w:val="ListLabel 416"/>
    <w:qFormat/>
    <w:rPr>
      <w:rFonts w:ascii="Courier New" w:hAnsi="Courier New" w:cs="Arial"/>
      <w:sz w:val="24"/>
    </w:rPr>
  </w:style>
  <w:style w:type="character" w:styleId="ListLabel417" w:customStyle="1">
    <w:name w:val="ListLabel 417"/>
    <w:qFormat/>
    <w:rPr>
      <w:rFonts w:cs="Courier New"/>
    </w:rPr>
  </w:style>
  <w:style w:type="character" w:styleId="ListLabel418" w:customStyle="1">
    <w:name w:val="ListLabel 418"/>
    <w:qFormat/>
    <w:rPr>
      <w:rFonts w:cs="Wingdings"/>
    </w:rPr>
  </w:style>
  <w:style w:type="character" w:styleId="ListLabel419" w:customStyle="1">
    <w:name w:val="ListLabel 419"/>
    <w:qFormat/>
    <w:rPr>
      <w:rFonts w:cs="Symbol"/>
    </w:rPr>
  </w:style>
  <w:style w:type="character" w:styleId="ListLabel420" w:customStyle="1">
    <w:name w:val="ListLabel 420"/>
    <w:qFormat/>
    <w:rPr>
      <w:rFonts w:cs="Courier New"/>
    </w:rPr>
  </w:style>
  <w:style w:type="character" w:styleId="ListLabel421" w:customStyle="1">
    <w:name w:val="ListLabel 421"/>
    <w:qFormat/>
    <w:rPr>
      <w:rFonts w:cs="Wingdings"/>
    </w:rPr>
  </w:style>
  <w:style w:type="character" w:styleId="ListLabel422" w:customStyle="1">
    <w:name w:val="ListLabel 422"/>
    <w:qFormat/>
    <w:rPr>
      <w:rFonts w:cs="Symbol"/>
    </w:rPr>
  </w:style>
  <w:style w:type="character" w:styleId="ListLabel423" w:customStyle="1">
    <w:name w:val="ListLabel 423"/>
    <w:qFormat/>
    <w:rPr>
      <w:rFonts w:cs="Courier New"/>
    </w:rPr>
  </w:style>
  <w:style w:type="character" w:styleId="ListLabel424" w:customStyle="1">
    <w:name w:val="ListLabel 424"/>
    <w:qFormat/>
    <w:rPr>
      <w:rFonts w:cs="Wingdings"/>
    </w:rPr>
  </w:style>
  <w:style w:type="character" w:styleId="ListLabel425" w:customStyle="1">
    <w:name w:val="ListLabel 425"/>
    <w:qFormat/>
    <w:rPr>
      <w:rFonts w:ascii="Courier New" w:hAnsi="Courier New" w:cs="Calibri Light"/>
      <w:sz w:val="24"/>
    </w:rPr>
  </w:style>
  <w:style w:type="character" w:styleId="ListLabel426" w:customStyle="1">
    <w:name w:val="ListLabel 426"/>
    <w:qFormat/>
    <w:rPr>
      <w:rFonts w:cs="Courier New"/>
    </w:rPr>
  </w:style>
  <w:style w:type="character" w:styleId="ListLabel427" w:customStyle="1">
    <w:name w:val="ListLabel 427"/>
    <w:qFormat/>
    <w:rPr>
      <w:rFonts w:cs="Wingdings"/>
    </w:rPr>
  </w:style>
  <w:style w:type="character" w:styleId="ListLabel428" w:customStyle="1">
    <w:name w:val="ListLabel 428"/>
    <w:qFormat/>
    <w:rPr>
      <w:rFonts w:cs="Symbol"/>
    </w:rPr>
  </w:style>
  <w:style w:type="character" w:styleId="ListLabel429" w:customStyle="1">
    <w:name w:val="ListLabel 429"/>
    <w:qFormat/>
    <w:rPr>
      <w:rFonts w:cs="Courier New"/>
    </w:rPr>
  </w:style>
  <w:style w:type="character" w:styleId="ListLabel430" w:customStyle="1">
    <w:name w:val="ListLabel 430"/>
    <w:qFormat/>
    <w:rPr>
      <w:rFonts w:cs="Wingdings"/>
    </w:rPr>
  </w:style>
  <w:style w:type="character" w:styleId="ListLabel431" w:customStyle="1">
    <w:name w:val="ListLabel 431"/>
    <w:qFormat/>
    <w:rPr>
      <w:rFonts w:cs="Symbol"/>
    </w:rPr>
  </w:style>
  <w:style w:type="character" w:styleId="ListLabel432" w:customStyle="1">
    <w:name w:val="ListLabel 432"/>
    <w:qFormat/>
    <w:rPr>
      <w:rFonts w:cs="Courier New"/>
    </w:rPr>
  </w:style>
  <w:style w:type="character" w:styleId="ListLabel433" w:customStyle="1">
    <w:name w:val="ListLabel 433"/>
    <w:qFormat/>
    <w:rPr>
      <w:rFonts w:cs="Wingdings"/>
    </w:rPr>
  </w:style>
  <w:style w:type="character" w:styleId="ListLabel434" w:customStyle="1">
    <w:name w:val="ListLabel 434"/>
    <w:qFormat/>
    <w:rPr>
      <w:rFonts w:ascii="Courier New" w:hAnsi="Courier New" w:cs="Calibri Light"/>
      <w:sz w:val="24"/>
    </w:rPr>
  </w:style>
  <w:style w:type="character" w:styleId="ListLabel435" w:customStyle="1">
    <w:name w:val="ListLabel 435"/>
    <w:qFormat/>
    <w:rPr>
      <w:rFonts w:cs="Courier New"/>
    </w:rPr>
  </w:style>
  <w:style w:type="character" w:styleId="ListLabel436" w:customStyle="1">
    <w:name w:val="ListLabel 436"/>
    <w:qFormat/>
    <w:rPr>
      <w:rFonts w:cs="Wingdings"/>
    </w:rPr>
  </w:style>
  <w:style w:type="character" w:styleId="ListLabel437" w:customStyle="1">
    <w:name w:val="ListLabel 437"/>
    <w:qFormat/>
    <w:rPr>
      <w:rFonts w:cs="Symbol"/>
    </w:rPr>
  </w:style>
  <w:style w:type="character" w:styleId="ListLabel438" w:customStyle="1">
    <w:name w:val="ListLabel 438"/>
    <w:qFormat/>
    <w:rPr>
      <w:rFonts w:cs="Courier New"/>
    </w:rPr>
  </w:style>
  <w:style w:type="character" w:styleId="ListLabel439" w:customStyle="1">
    <w:name w:val="ListLabel 439"/>
    <w:qFormat/>
    <w:rPr>
      <w:rFonts w:cs="Wingdings"/>
    </w:rPr>
  </w:style>
  <w:style w:type="character" w:styleId="ListLabel440" w:customStyle="1">
    <w:name w:val="ListLabel 440"/>
    <w:qFormat/>
    <w:rPr>
      <w:rFonts w:cs="Symbol"/>
    </w:rPr>
  </w:style>
  <w:style w:type="character" w:styleId="ListLabel441" w:customStyle="1">
    <w:name w:val="ListLabel 441"/>
    <w:qFormat/>
    <w:rPr>
      <w:rFonts w:cs="Courier New"/>
    </w:rPr>
  </w:style>
  <w:style w:type="character" w:styleId="ListLabel442" w:customStyle="1">
    <w:name w:val="ListLabel 442"/>
    <w:qFormat/>
    <w:rPr>
      <w:rFonts w:cs="Wingdings"/>
    </w:rPr>
  </w:style>
  <w:style w:type="character" w:styleId="ListLabel443" w:customStyle="1">
    <w:name w:val="ListLabel 443"/>
    <w:qFormat/>
    <w:rPr>
      <w:rFonts w:ascii="Courier New" w:hAnsi="Courier New" w:cs="Calibri Light"/>
      <w:sz w:val="24"/>
    </w:rPr>
  </w:style>
  <w:style w:type="character" w:styleId="ListLabel444" w:customStyle="1">
    <w:name w:val="ListLabel 444"/>
    <w:qFormat/>
    <w:rPr>
      <w:rFonts w:cs="Courier New"/>
    </w:rPr>
  </w:style>
  <w:style w:type="character" w:styleId="ListLabel445" w:customStyle="1">
    <w:name w:val="ListLabel 445"/>
    <w:qFormat/>
    <w:rPr>
      <w:rFonts w:cs="Wingdings"/>
    </w:rPr>
  </w:style>
  <w:style w:type="character" w:styleId="ListLabel446" w:customStyle="1">
    <w:name w:val="ListLabel 446"/>
    <w:qFormat/>
    <w:rPr>
      <w:rFonts w:cs="Symbol"/>
    </w:rPr>
  </w:style>
  <w:style w:type="character" w:styleId="ListLabel447" w:customStyle="1">
    <w:name w:val="ListLabel 447"/>
    <w:qFormat/>
    <w:rPr>
      <w:rFonts w:cs="Courier New"/>
    </w:rPr>
  </w:style>
  <w:style w:type="character" w:styleId="ListLabel448" w:customStyle="1">
    <w:name w:val="ListLabel 448"/>
    <w:qFormat/>
    <w:rPr>
      <w:rFonts w:cs="Wingdings"/>
    </w:rPr>
  </w:style>
  <w:style w:type="character" w:styleId="ListLabel449" w:customStyle="1">
    <w:name w:val="ListLabel 449"/>
    <w:qFormat/>
    <w:rPr>
      <w:rFonts w:cs="Symbol"/>
    </w:rPr>
  </w:style>
  <w:style w:type="character" w:styleId="ListLabel450" w:customStyle="1">
    <w:name w:val="ListLabel 450"/>
    <w:qFormat/>
    <w:rPr>
      <w:rFonts w:cs="Courier New"/>
    </w:rPr>
  </w:style>
  <w:style w:type="character" w:styleId="ListLabel451" w:customStyle="1">
    <w:name w:val="ListLabel 451"/>
    <w:qFormat/>
    <w:rPr>
      <w:rFonts w:cs="Wingdings"/>
    </w:rPr>
  </w:style>
  <w:style w:type="character" w:styleId="ListLabel452" w:customStyle="1">
    <w:name w:val="ListLabel 452"/>
    <w:qFormat/>
    <w:rPr>
      <w:rFonts w:ascii="Courier New" w:hAnsi="Courier New" w:cs="Calibri Light"/>
      <w:sz w:val="24"/>
    </w:rPr>
  </w:style>
  <w:style w:type="character" w:styleId="ListLabel453" w:customStyle="1">
    <w:name w:val="ListLabel 453"/>
    <w:qFormat/>
    <w:rPr>
      <w:rFonts w:cs="Courier New"/>
    </w:rPr>
  </w:style>
  <w:style w:type="character" w:styleId="ListLabel454" w:customStyle="1">
    <w:name w:val="ListLabel 454"/>
    <w:qFormat/>
    <w:rPr>
      <w:rFonts w:cs="Wingdings"/>
    </w:rPr>
  </w:style>
  <w:style w:type="character" w:styleId="ListLabel455" w:customStyle="1">
    <w:name w:val="ListLabel 455"/>
    <w:qFormat/>
    <w:rPr>
      <w:rFonts w:cs="Symbol"/>
    </w:rPr>
  </w:style>
  <w:style w:type="character" w:styleId="ListLabel456" w:customStyle="1">
    <w:name w:val="ListLabel 456"/>
    <w:qFormat/>
    <w:rPr>
      <w:rFonts w:cs="Courier New"/>
    </w:rPr>
  </w:style>
  <w:style w:type="character" w:styleId="ListLabel457" w:customStyle="1">
    <w:name w:val="ListLabel 457"/>
    <w:qFormat/>
    <w:rPr>
      <w:rFonts w:cs="Wingdings"/>
    </w:rPr>
  </w:style>
  <w:style w:type="character" w:styleId="ListLabel458" w:customStyle="1">
    <w:name w:val="ListLabel 458"/>
    <w:qFormat/>
    <w:rPr>
      <w:rFonts w:cs="Symbol"/>
    </w:rPr>
  </w:style>
  <w:style w:type="character" w:styleId="ListLabel459" w:customStyle="1">
    <w:name w:val="ListLabel 459"/>
    <w:qFormat/>
    <w:rPr>
      <w:rFonts w:cs="Courier New"/>
    </w:rPr>
  </w:style>
  <w:style w:type="character" w:styleId="ListLabel460" w:customStyle="1">
    <w:name w:val="ListLabel 460"/>
    <w:qFormat/>
    <w:rPr>
      <w:rFonts w:cs="Wingdings"/>
    </w:rPr>
  </w:style>
  <w:style w:type="character" w:styleId="ListLabel461" w:customStyle="1">
    <w:name w:val="ListLabel 461"/>
    <w:qFormat/>
    <w:rPr>
      <w:rFonts w:ascii="Courier New" w:hAnsi="Courier New" w:cs="Calibri Light"/>
      <w:sz w:val="24"/>
    </w:rPr>
  </w:style>
  <w:style w:type="character" w:styleId="ListLabel462" w:customStyle="1">
    <w:name w:val="ListLabel 462"/>
    <w:qFormat/>
    <w:rPr>
      <w:rFonts w:cs="Courier New"/>
    </w:rPr>
  </w:style>
  <w:style w:type="character" w:styleId="ListLabel463" w:customStyle="1">
    <w:name w:val="ListLabel 463"/>
    <w:qFormat/>
    <w:rPr>
      <w:rFonts w:cs="Wingdings"/>
    </w:rPr>
  </w:style>
  <w:style w:type="character" w:styleId="ListLabel464" w:customStyle="1">
    <w:name w:val="ListLabel 464"/>
    <w:qFormat/>
    <w:rPr>
      <w:rFonts w:cs="Symbol"/>
    </w:rPr>
  </w:style>
  <w:style w:type="character" w:styleId="ListLabel465" w:customStyle="1">
    <w:name w:val="ListLabel 465"/>
    <w:qFormat/>
    <w:rPr>
      <w:rFonts w:cs="Courier New"/>
    </w:rPr>
  </w:style>
  <w:style w:type="character" w:styleId="ListLabel466" w:customStyle="1">
    <w:name w:val="ListLabel 466"/>
    <w:qFormat/>
    <w:rPr>
      <w:rFonts w:cs="Wingdings"/>
    </w:rPr>
  </w:style>
  <w:style w:type="character" w:styleId="ListLabel467" w:customStyle="1">
    <w:name w:val="ListLabel 467"/>
    <w:qFormat/>
    <w:rPr>
      <w:rFonts w:cs="Symbol"/>
    </w:rPr>
  </w:style>
  <w:style w:type="character" w:styleId="ListLabel468" w:customStyle="1">
    <w:name w:val="ListLabel 468"/>
    <w:qFormat/>
    <w:rPr>
      <w:rFonts w:cs="Courier New"/>
    </w:rPr>
  </w:style>
  <w:style w:type="character" w:styleId="ListLabel469" w:customStyle="1">
    <w:name w:val="ListLabel 469"/>
    <w:qFormat/>
    <w:rPr>
      <w:rFonts w:cs="Wingdings"/>
    </w:rPr>
  </w:style>
  <w:style w:type="character" w:styleId="ListLabel470" w:customStyle="1">
    <w:name w:val="ListLabel 470"/>
    <w:qFormat/>
    <w:rPr>
      <w:rFonts w:ascii="Courier New" w:hAnsi="Courier New" w:eastAsia="SimSun" w:cs="Tahoma"/>
      <w:color w:val="0000FF"/>
      <w:kern w:val="2"/>
      <w:sz w:val="24"/>
      <w:szCs w:val="24"/>
      <w:u w:val="single"/>
    </w:rPr>
  </w:style>
  <w:style w:type="character" w:styleId="ListLabel471">
    <w:name w:val="ListLabel 471"/>
    <w:qFormat/>
    <w:rPr>
      <w:rFonts w:ascii="Courier New" w:hAnsi="Courier New" w:cs="Courier New"/>
      <w:b/>
      <w:sz w:val="24"/>
      <w:szCs w:val="24"/>
    </w:rPr>
  </w:style>
  <w:style w:type="character" w:styleId="ListLabel472">
    <w:name w:val="ListLabel 472"/>
    <w:qFormat/>
    <w:rPr>
      <w:rFonts w:ascii="Courier New" w:hAnsi="Courier New"/>
      <w:b w:val="false"/>
      <w:sz w:val="24"/>
    </w:rPr>
  </w:style>
  <w:style w:type="character" w:styleId="ListLabel473">
    <w:name w:val="ListLabel 473"/>
    <w:qFormat/>
    <w:rPr>
      <w:rFonts w:ascii="Courier New" w:hAnsi="Courier New" w:cs="Courier New"/>
      <w:sz w:val="24"/>
      <w:szCs w:val="24"/>
    </w:rPr>
  </w:style>
  <w:style w:type="character" w:styleId="ListLabel474">
    <w:name w:val="ListLabel 474"/>
    <w:qFormat/>
    <w:rPr>
      <w:rFonts w:cs="Courier New"/>
    </w:rPr>
  </w:style>
  <w:style w:type="character" w:styleId="ListLabel475">
    <w:name w:val="ListLabel 475"/>
    <w:qFormat/>
    <w:rPr>
      <w:rFonts w:cs="Wingdings"/>
    </w:rPr>
  </w:style>
  <w:style w:type="character" w:styleId="ListLabel476">
    <w:name w:val="ListLabel 476"/>
    <w:qFormat/>
    <w:rPr>
      <w:rFonts w:cs="Symbol"/>
    </w:rPr>
  </w:style>
  <w:style w:type="character" w:styleId="ListLabel477">
    <w:name w:val="ListLabel 477"/>
    <w:qFormat/>
    <w:rPr>
      <w:rFonts w:cs="Courier New"/>
    </w:rPr>
  </w:style>
  <w:style w:type="character" w:styleId="ListLabel478">
    <w:name w:val="ListLabel 478"/>
    <w:qFormat/>
    <w:rPr>
      <w:rFonts w:cs="Wingdings"/>
    </w:rPr>
  </w:style>
  <w:style w:type="character" w:styleId="ListLabel479">
    <w:name w:val="ListLabel 479"/>
    <w:qFormat/>
    <w:rPr>
      <w:rFonts w:cs="Symbol"/>
    </w:rPr>
  </w:style>
  <w:style w:type="character" w:styleId="ListLabel480">
    <w:name w:val="ListLabel 480"/>
    <w:qFormat/>
    <w:rPr>
      <w:rFonts w:cs="Courier New"/>
    </w:rPr>
  </w:style>
  <w:style w:type="character" w:styleId="ListLabel481">
    <w:name w:val="ListLabel 481"/>
    <w:qFormat/>
    <w:rPr>
      <w:rFonts w:cs="Wingdings"/>
    </w:rPr>
  </w:style>
  <w:style w:type="character" w:styleId="ListLabel482">
    <w:name w:val="ListLabel 482"/>
    <w:qFormat/>
    <w:rPr>
      <w:rFonts w:ascii="Calibri" w:hAnsi="Calibri" w:cs="Symbol"/>
      <w:sz w:val="24"/>
    </w:rPr>
  </w:style>
  <w:style w:type="character" w:styleId="ListLabel483">
    <w:name w:val="ListLabel 483"/>
    <w:qFormat/>
    <w:rPr>
      <w:rFonts w:cs="Symbol"/>
    </w:rPr>
  </w:style>
  <w:style w:type="character" w:styleId="ListLabel484">
    <w:name w:val="ListLabel 484"/>
    <w:qFormat/>
    <w:rPr>
      <w:rFonts w:ascii="Courier New" w:hAnsi="Courier New" w:cs="Courier New"/>
      <w:sz w:val="24"/>
      <w:szCs w:val="24"/>
    </w:rPr>
  </w:style>
  <w:style w:type="character" w:styleId="ListLabel485">
    <w:name w:val="ListLabel 485"/>
    <w:qFormat/>
    <w:rPr>
      <w:rFonts w:cs="Courier New"/>
    </w:rPr>
  </w:style>
  <w:style w:type="character" w:styleId="ListLabel486">
    <w:name w:val="ListLabel 486"/>
    <w:qFormat/>
    <w:rPr>
      <w:rFonts w:cs="Wingdings"/>
    </w:rPr>
  </w:style>
  <w:style w:type="character" w:styleId="ListLabel487">
    <w:name w:val="ListLabel 487"/>
    <w:qFormat/>
    <w:rPr>
      <w:rFonts w:cs="Symbol"/>
    </w:rPr>
  </w:style>
  <w:style w:type="character" w:styleId="ListLabel488">
    <w:name w:val="ListLabel 488"/>
    <w:qFormat/>
    <w:rPr>
      <w:rFonts w:cs="Courier New"/>
    </w:rPr>
  </w:style>
  <w:style w:type="character" w:styleId="ListLabel489">
    <w:name w:val="ListLabel 489"/>
    <w:qFormat/>
    <w:rPr>
      <w:rFonts w:cs="Wingdings"/>
    </w:rPr>
  </w:style>
  <w:style w:type="character" w:styleId="ListLabel490">
    <w:name w:val="ListLabel 490"/>
    <w:qFormat/>
    <w:rPr>
      <w:rFonts w:cs="Symbol"/>
    </w:rPr>
  </w:style>
  <w:style w:type="character" w:styleId="ListLabel491">
    <w:name w:val="ListLabel 491"/>
    <w:qFormat/>
    <w:rPr>
      <w:rFonts w:cs="Courier New"/>
    </w:rPr>
  </w:style>
  <w:style w:type="character" w:styleId="ListLabel492">
    <w:name w:val="ListLabel 492"/>
    <w:qFormat/>
    <w:rPr>
      <w:rFonts w:cs="Wingdings"/>
    </w:rPr>
  </w:style>
  <w:style w:type="character" w:styleId="ListLabel493">
    <w:name w:val="ListLabel 493"/>
    <w:qFormat/>
    <w:rPr>
      <w:rFonts w:ascii="Courier New" w:hAnsi="Courier New" w:cs="Arial"/>
      <w:sz w:val="24"/>
    </w:rPr>
  </w:style>
  <w:style w:type="character" w:styleId="ListLabel494">
    <w:name w:val="ListLabel 494"/>
    <w:qFormat/>
    <w:rPr>
      <w:rFonts w:cs="Courier New"/>
    </w:rPr>
  </w:style>
  <w:style w:type="character" w:styleId="ListLabel495">
    <w:name w:val="ListLabel 495"/>
    <w:qFormat/>
    <w:rPr>
      <w:rFonts w:cs="Wingdings"/>
    </w:rPr>
  </w:style>
  <w:style w:type="character" w:styleId="ListLabel496">
    <w:name w:val="ListLabel 496"/>
    <w:qFormat/>
    <w:rPr>
      <w:rFonts w:cs="Symbol"/>
    </w:rPr>
  </w:style>
  <w:style w:type="character" w:styleId="ListLabel497">
    <w:name w:val="ListLabel 497"/>
    <w:qFormat/>
    <w:rPr>
      <w:rFonts w:cs="Courier New"/>
    </w:rPr>
  </w:style>
  <w:style w:type="character" w:styleId="ListLabel498">
    <w:name w:val="ListLabel 498"/>
    <w:qFormat/>
    <w:rPr>
      <w:rFonts w:cs="Wingdings"/>
    </w:rPr>
  </w:style>
  <w:style w:type="character" w:styleId="ListLabel499">
    <w:name w:val="ListLabel 499"/>
    <w:qFormat/>
    <w:rPr>
      <w:rFonts w:cs="Symbol"/>
    </w:rPr>
  </w:style>
  <w:style w:type="character" w:styleId="ListLabel500">
    <w:name w:val="ListLabel 500"/>
    <w:qFormat/>
    <w:rPr>
      <w:rFonts w:cs="Courier New"/>
    </w:rPr>
  </w:style>
  <w:style w:type="character" w:styleId="ListLabel501">
    <w:name w:val="ListLabel 501"/>
    <w:qFormat/>
    <w:rPr>
      <w:rFonts w:cs="Wingdings"/>
    </w:rPr>
  </w:style>
  <w:style w:type="character" w:styleId="ListLabel502">
    <w:name w:val="ListLabel 502"/>
    <w:qFormat/>
    <w:rPr>
      <w:rFonts w:ascii="Courier New" w:hAnsi="Courier New" w:cs="Calibri Light"/>
      <w:sz w:val="24"/>
    </w:rPr>
  </w:style>
  <w:style w:type="character" w:styleId="ListLabel503">
    <w:name w:val="ListLabel 503"/>
    <w:qFormat/>
    <w:rPr>
      <w:rFonts w:cs="Courier New"/>
    </w:rPr>
  </w:style>
  <w:style w:type="character" w:styleId="ListLabel504">
    <w:name w:val="ListLabel 504"/>
    <w:qFormat/>
    <w:rPr>
      <w:rFonts w:cs="Wingdings"/>
    </w:rPr>
  </w:style>
  <w:style w:type="character" w:styleId="ListLabel505">
    <w:name w:val="ListLabel 505"/>
    <w:qFormat/>
    <w:rPr>
      <w:rFonts w:cs="Symbol"/>
    </w:rPr>
  </w:style>
  <w:style w:type="character" w:styleId="ListLabel506">
    <w:name w:val="ListLabel 506"/>
    <w:qFormat/>
    <w:rPr>
      <w:rFonts w:cs="Courier New"/>
    </w:rPr>
  </w:style>
  <w:style w:type="character" w:styleId="ListLabel507">
    <w:name w:val="ListLabel 507"/>
    <w:qFormat/>
    <w:rPr>
      <w:rFonts w:cs="Wingdings"/>
    </w:rPr>
  </w:style>
  <w:style w:type="character" w:styleId="ListLabel508">
    <w:name w:val="ListLabel 508"/>
    <w:qFormat/>
    <w:rPr>
      <w:rFonts w:cs="Symbol"/>
    </w:rPr>
  </w:style>
  <w:style w:type="character" w:styleId="ListLabel509">
    <w:name w:val="ListLabel 509"/>
    <w:qFormat/>
    <w:rPr>
      <w:rFonts w:cs="Courier New"/>
    </w:rPr>
  </w:style>
  <w:style w:type="character" w:styleId="ListLabel510">
    <w:name w:val="ListLabel 510"/>
    <w:qFormat/>
    <w:rPr>
      <w:rFonts w:cs="Wingdings"/>
    </w:rPr>
  </w:style>
  <w:style w:type="character" w:styleId="ListLabel511">
    <w:name w:val="ListLabel 511"/>
    <w:qFormat/>
    <w:rPr>
      <w:rFonts w:ascii="Courier New" w:hAnsi="Courier New" w:cs="Calibri Light"/>
      <w:sz w:val="24"/>
    </w:rPr>
  </w:style>
  <w:style w:type="character" w:styleId="ListLabel512">
    <w:name w:val="ListLabel 512"/>
    <w:qFormat/>
    <w:rPr>
      <w:rFonts w:cs="Courier New"/>
    </w:rPr>
  </w:style>
  <w:style w:type="character" w:styleId="ListLabel513">
    <w:name w:val="ListLabel 513"/>
    <w:qFormat/>
    <w:rPr>
      <w:rFonts w:cs="Wingdings"/>
    </w:rPr>
  </w:style>
  <w:style w:type="character" w:styleId="ListLabel514">
    <w:name w:val="ListLabel 514"/>
    <w:qFormat/>
    <w:rPr>
      <w:rFonts w:cs="Symbol"/>
    </w:rPr>
  </w:style>
  <w:style w:type="character" w:styleId="ListLabel515">
    <w:name w:val="ListLabel 515"/>
    <w:qFormat/>
    <w:rPr>
      <w:rFonts w:cs="Courier New"/>
    </w:rPr>
  </w:style>
  <w:style w:type="character" w:styleId="ListLabel516">
    <w:name w:val="ListLabel 516"/>
    <w:qFormat/>
    <w:rPr>
      <w:rFonts w:cs="Wingdings"/>
    </w:rPr>
  </w:style>
  <w:style w:type="character" w:styleId="ListLabel517">
    <w:name w:val="ListLabel 517"/>
    <w:qFormat/>
    <w:rPr>
      <w:rFonts w:cs="Symbol"/>
    </w:rPr>
  </w:style>
  <w:style w:type="character" w:styleId="ListLabel518">
    <w:name w:val="ListLabel 518"/>
    <w:qFormat/>
    <w:rPr>
      <w:rFonts w:cs="Courier New"/>
    </w:rPr>
  </w:style>
  <w:style w:type="character" w:styleId="ListLabel519">
    <w:name w:val="ListLabel 519"/>
    <w:qFormat/>
    <w:rPr>
      <w:rFonts w:cs="Wingdings"/>
    </w:rPr>
  </w:style>
  <w:style w:type="character" w:styleId="ListLabel520">
    <w:name w:val="ListLabel 520"/>
    <w:qFormat/>
    <w:rPr>
      <w:rFonts w:ascii="Courier New" w:hAnsi="Courier New" w:cs="Calibri Light"/>
      <w:sz w:val="24"/>
    </w:rPr>
  </w:style>
  <w:style w:type="character" w:styleId="ListLabel521">
    <w:name w:val="ListLabel 521"/>
    <w:qFormat/>
    <w:rPr>
      <w:rFonts w:cs="Courier New"/>
    </w:rPr>
  </w:style>
  <w:style w:type="character" w:styleId="ListLabel522">
    <w:name w:val="ListLabel 522"/>
    <w:qFormat/>
    <w:rPr>
      <w:rFonts w:cs="Wingdings"/>
    </w:rPr>
  </w:style>
  <w:style w:type="character" w:styleId="ListLabel523">
    <w:name w:val="ListLabel 523"/>
    <w:qFormat/>
    <w:rPr>
      <w:rFonts w:cs="Symbol"/>
    </w:rPr>
  </w:style>
  <w:style w:type="character" w:styleId="ListLabel524">
    <w:name w:val="ListLabel 524"/>
    <w:qFormat/>
    <w:rPr>
      <w:rFonts w:cs="Courier New"/>
    </w:rPr>
  </w:style>
  <w:style w:type="character" w:styleId="ListLabel525">
    <w:name w:val="ListLabel 525"/>
    <w:qFormat/>
    <w:rPr>
      <w:rFonts w:cs="Wingdings"/>
    </w:rPr>
  </w:style>
  <w:style w:type="character" w:styleId="ListLabel526">
    <w:name w:val="ListLabel 526"/>
    <w:qFormat/>
    <w:rPr>
      <w:rFonts w:cs="Symbol"/>
    </w:rPr>
  </w:style>
  <w:style w:type="character" w:styleId="ListLabel527">
    <w:name w:val="ListLabel 527"/>
    <w:qFormat/>
    <w:rPr>
      <w:rFonts w:cs="Courier New"/>
    </w:rPr>
  </w:style>
  <w:style w:type="character" w:styleId="ListLabel528">
    <w:name w:val="ListLabel 528"/>
    <w:qFormat/>
    <w:rPr>
      <w:rFonts w:cs="Wingdings"/>
    </w:rPr>
  </w:style>
  <w:style w:type="character" w:styleId="ListLabel529">
    <w:name w:val="ListLabel 529"/>
    <w:qFormat/>
    <w:rPr>
      <w:rFonts w:ascii="Courier New" w:hAnsi="Courier New" w:cs="Calibri Light"/>
      <w:sz w:val="24"/>
    </w:rPr>
  </w:style>
  <w:style w:type="character" w:styleId="ListLabel530">
    <w:name w:val="ListLabel 530"/>
    <w:qFormat/>
    <w:rPr>
      <w:rFonts w:cs="Courier New"/>
    </w:rPr>
  </w:style>
  <w:style w:type="character" w:styleId="ListLabel531">
    <w:name w:val="ListLabel 531"/>
    <w:qFormat/>
    <w:rPr>
      <w:rFonts w:cs="Wingdings"/>
    </w:rPr>
  </w:style>
  <w:style w:type="character" w:styleId="ListLabel532">
    <w:name w:val="ListLabel 532"/>
    <w:qFormat/>
    <w:rPr>
      <w:rFonts w:cs="Symbol"/>
    </w:rPr>
  </w:style>
  <w:style w:type="character" w:styleId="ListLabel533">
    <w:name w:val="ListLabel 533"/>
    <w:qFormat/>
    <w:rPr>
      <w:rFonts w:cs="Courier New"/>
    </w:rPr>
  </w:style>
  <w:style w:type="character" w:styleId="ListLabel534">
    <w:name w:val="ListLabel 534"/>
    <w:qFormat/>
    <w:rPr>
      <w:rFonts w:cs="Wingdings"/>
    </w:rPr>
  </w:style>
  <w:style w:type="character" w:styleId="ListLabel535">
    <w:name w:val="ListLabel 535"/>
    <w:qFormat/>
    <w:rPr>
      <w:rFonts w:cs="Symbol"/>
    </w:rPr>
  </w:style>
  <w:style w:type="character" w:styleId="ListLabel536">
    <w:name w:val="ListLabel 536"/>
    <w:qFormat/>
    <w:rPr>
      <w:rFonts w:cs="Courier New"/>
    </w:rPr>
  </w:style>
  <w:style w:type="character" w:styleId="ListLabel537">
    <w:name w:val="ListLabel 537"/>
    <w:qFormat/>
    <w:rPr>
      <w:rFonts w:cs="Wingdings"/>
    </w:rPr>
  </w:style>
  <w:style w:type="character" w:styleId="ListLabel538">
    <w:name w:val="ListLabel 538"/>
    <w:qFormat/>
    <w:rPr>
      <w:rFonts w:ascii="Courier New" w:hAnsi="Courier New" w:cs="Calibri Light"/>
      <w:sz w:val="24"/>
    </w:rPr>
  </w:style>
  <w:style w:type="character" w:styleId="ListLabel539">
    <w:name w:val="ListLabel 539"/>
    <w:qFormat/>
    <w:rPr>
      <w:rFonts w:cs="Courier New"/>
    </w:rPr>
  </w:style>
  <w:style w:type="character" w:styleId="ListLabel540">
    <w:name w:val="ListLabel 540"/>
    <w:qFormat/>
    <w:rPr>
      <w:rFonts w:cs="Wingdings"/>
    </w:rPr>
  </w:style>
  <w:style w:type="character" w:styleId="ListLabel541">
    <w:name w:val="ListLabel 541"/>
    <w:qFormat/>
    <w:rPr>
      <w:rFonts w:cs="Symbol"/>
    </w:rPr>
  </w:style>
  <w:style w:type="character" w:styleId="ListLabel542">
    <w:name w:val="ListLabel 542"/>
    <w:qFormat/>
    <w:rPr>
      <w:rFonts w:cs="Courier New"/>
    </w:rPr>
  </w:style>
  <w:style w:type="character" w:styleId="ListLabel543">
    <w:name w:val="ListLabel 543"/>
    <w:qFormat/>
    <w:rPr>
      <w:rFonts w:cs="Wingdings"/>
    </w:rPr>
  </w:style>
  <w:style w:type="character" w:styleId="ListLabel544">
    <w:name w:val="ListLabel 544"/>
    <w:qFormat/>
    <w:rPr>
      <w:rFonts w:cs="Symbol"/>
    </w:rPr>
  </w:style>
  <w:style w:type="character" w:styleId="ListLabel545">
    <w:name w:val="ListLabel 545"/>
    <w:qFormat/>
    <w:rPr>
      <w:rFonts w:cs="Courier New"/>
    </w:rPr>
  </w:style>
  <w:style w:type="character" w:styleId="ListLabel546">
    <w:name w:val="ListLabel 546"/>
    <w:qFormat/>
    <w:rPr>
      <w:rFonts w:cs="Wingdings"/>
    </w:rPr>
  </w:style>
  <w:style w:type="character" w:styleId="ListLabel547">
    <w:name w:val="ListLabel 547"/>
    <w:qFormat/>
    <w:rPr>
      <w:rFonts w:cs="Courier New"/>
    </w:rPr>
  </w:style>
  <w:style w:type="character" w:styleId="ListLabel548">
    <w:name w:val="ListLabel 548"/>
    <w:qFormat/>
    <w:rPr>
      <w:rFonts w:cs="Courier New"/>
    </w:rPr>
  </w:style>
  <w:style w:type="character" w:styleId="ListLabel549">
    <w:name w:val="ListLabel 549"/>
    <w:qFormat/>
    <w:rPr>
      <w:rFonts w:cs="Courier New"/>
    </w:rPr>
  </w:style>
  <w:style w:type="character" w:styleId="ListLabel550">
    <w:name w:val="ListLabel 550"/>
    <w:qFormat/>
    <w:rPr/>
  </w:style>
  <w:style w:type="paragraph" w:styleId="Titolo">
    <w:name w:val="Titolo"/>
    <w:basedOn w:val="Normal"/>
    <w:next w:val="Corpodeltesto"/>
    <w:qFormat/>
    <w:pPr>
      <w:keepNext w:val="true"/>
      <w:spacing w:before="240" w:after="120"/>
    </w:pPr>
    <w:rPr>
      <w:rFonts w:ascii="Trebuchet MS" w:hAnsi="Trebuchet MS" w:eastAsia="Microsoft YaHei" w:cs="Mangal"/>
      <w:sz w:val="20"/>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ascii="Trebuchet MS" w:hAnsi="Trebuchet MS" w:cs="Mangal"/>
    </w:rPr>
  </w:style>
  <w:style w:type="paragraph" w:styleId="Didascalia">
    <w:name w:val="Caption"/>
    <w:basedOn w:val="Normal"/>
    <w:qFormat/>
    <w:pPr>
      <w:suppressLineNumbers/>
      <w:spacing w:before="120" w:after="120"/>
    </w:pPr>
    <w:rPr>
      <w:rFonts w:ascii="Trebuchet MS" w:hAnsi="Trebuchet MS" w:cs="Mangal"/>
      <w:i/>
      <w:iCs/>
      <w:sz w:val="24"/>
      <w:szCs w:val="24"/>
    </w:rPr>
  </w:style>
  <w:style w:type="paragraph" w:styleId="Indice" w:customStyle="1">
    <w:name w:val="Indice"/>
    <w:basedOn w:val="Normal"/>
    <w:qFormat/>
    <w:pPr>
      <w:suppressLineNumbers/>
    </w:pPr>
    <w:rPr>
      <w:rFonts w:ascii="Trebuchet MS" w:hAnsi="Trebuchet MS" w:cs="Mangal"/>
    </w:rPr>
  </w:style>
  <w:style w:type="paragraph" w:styleId="Titoloprincipale">
    <w:name w:val="Title"/>
    <w:basedOn w:val="Normal"/>
    <w:next w:val="Corpodeltesto"/>
    <w:qFormat/>
    <w:pPr>
      <w:keepNext w:val="true"/>
      <w:spacing w:before="240" w:after="120"/>
    </w:pPr>
    <w:rPr>
      <w:rFonts w:ascii="Trebuchet MS" w:hAnsi="Trebuchet MS" w:eastAsia="Microsoft YaHei" w:cs="Mangal"/>
      <w:sz w:val="20"/>
      <w:szCs w:val="28"/>
    </w:rPr>
  </w:style>
  <w:style w:type="paragraph" w:styleId="Caption">
    <w:name w:val="caption"/>
    <w:basedOn w:val="Normal"/>
    <w:qFormat/>
    <w:pPr>
      <w:suppressLineNumbers/>
      <w:spacing w:before="120" w:after="120"/>
    </w:pPr>
    <w:rPr>
      <w:rFonts w:ascii="Trebuchet MS" w:hAnsi="Trebuchet MS" w:cs="Mangal"/>
      <w:i/>
      <w:iCs/>
      <w:sz w:val="24"/>
      <w:szCs w:val="24"/>
    </w:rPr>
  </w:style>
  <w:style w:type="paragraph" w:styleId="Pidipagina">
    <w:name w:val="Footer"/>
    <w:basedOn w:val="Normal"/>
    <w:link w:val="PidipaginaCarattere"/>
    <w:uiPriority w:val="99"/>
    <w:semiHidden/>
    <w:unhideWhenUsed/>
    <w:rsid w:val="0033262f"/>
    <w:pPr>
      <w:tabs>
        <w:tab w:val="clear" w:pos="720"/>
        <w:tab w:val="center" w:pos="4819" w:leader="none"/>
        <w:tab w:val="right" w:pos="9638" w:leader="none"/>
      </w:tabs>
      <w:spacing w:lineRule="auto" w:line="240" w:before="0" w:after="0"/>
    </w:pPr>
    <w:rPr/>
  </w:style>
  <w:style w:type="paragraph" w:styleId="Intestazione">
    <w:name w:val="Header"/>
    <w:basedOn w:val="Normal"/>
    <w:link w:val="IntestazioneCarattere"/>
    <w:uiPriority w:val="99"/>
    <w:semiHidden/>
    <w:unhideWhenUsed/>
    <w:rsid w:val="0033262f"/>
    <w:pPr>
      <w:tabs>
        <w:tab w:val="clear" w:pos="720"/>
        <w:tab w:val="center" w:pos="4819" w:leader="none"/>
        <w:tab w:val="right" w:pos="9638" w:leader="none"/>
      </w:tabs>
      <w:spacing w:lineRule="auto" w:line="240" w:before="0" w:after="0"/>
    </w:pPr>
    <w:rPr/>
  </w:style>
  <w:style w:type="paragraph" w:styleId="TESTO" w:customStyle="1">
    <w:name w:val="TESTO"/>
    <w:basedOn w:val="Normal"/>
    <w:qFormat/>
    <w:rsid w:val="000603e5"/>
    <w:pPr>
      <w:tabs>
        <w:tab w:val="clear" w:pos="720"/>
        <w:tab w:val="left" w:pos="709" w:leader="none"/>
      </w:tabs>
      <w:suppressAutoHyphens w:val="true"/>
      <w:spacing w:lineRule="auto" w:line="240" w:before="120" w:after="120"/>
      <w:ind w:firstLine="709"/>
      <w:jc w:val="both"/>
    </w:pPr>
    <w:rPr>
      <w:rFonts w:ascii="Courier New" w:hAnsi="Courier New" w:eastAsia="Times New Roman" w:cs="Courier New"/>
      <w:sz w:val="24"/>
      <w:szCs w:val="20"/>
      <w:lang w:eastAsia="ar-SA"/>
    </w:rPr>
  </w:style>
  <w:style w:type="paragraph" w:styleId="ListParagraph">
    <w:name w:val="List Paragraph"/>
    <w:basedOn w:val="Normal"/>
    <w:uiPriority w:val="34"/>
    <w:qFormat/>
    <w:rsid w:val="00e31539"/>
    <w:pPr>
      <w:spacing w:before="0" w:after="16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https://orma.regione.emilia-romagna.it/i/ente-atti-e-leggi/come-funziona/privacy/giunta/la-normativa-sulla-privacy" TargetMode="External"/><Relationship Id="rId5" Type="http://schemas.openxmlformats.org/officeDocument/2006/relationships/header" Target="header2.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Relationship Id="rId12" Type="http://schemas.openxmlformats.org/officeDocument/2006/relationships/customXml" Target="../customXml/item2.xml"/><Relationship Id="rId13" Type="http://schemas.openxmlformats.org/officeDocument/2006/relationships/customXml" Target="../customXml/item3.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32D2815A8E125418A0045482C7D1AE5" ma:contentTypeVersion="24" ma:contentTypeDescription="Creare un nuovo documento." ma:contentTypeScope="" ma:versionID="565aa801547f153cce281dc7e990e972">
  <xsd:schema xmlns:xsd="http://www.w3.org/2001/XMLSchema" xmlns:xs="http://www.w3.org/2001/XMLSchema" xmlns:p="http://schemas.microsoft.com/office/2006/metadata/properties" xmlns:ns2="8d8d0aaa-d3ae-4bbb-a328-844dc55f731e" xmlns:ns3="5929daef-c0dd-4a31-9a60-db9a8bbd86e3" targetNamespace="http://schemas.microsoft.com/office/2006/metadata/properties" ma:root="true" ma:fieldsID="40b11471c629453f2bf796fdc947ac95" ns2:_="" ns3:_="">
    <xsd:import namespace="8d8d0aaa-d3ae-4bbb-a328-844dc55f731e"/>
    <xsd:import namespace="5929daef-c0dd-4a31-9a60-db9a8bbd86e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8d0aaa-d3ae-4bbb-a328-844dc55f7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29daef-c0dd-4a31-9a60-db9a8bbd86e3"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7"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24ACF3-9686-4257-978A-8B6425D365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41D77C-7764-4648-8850-327A7B3D2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8d0aaa-d3ae-4bbb-a328-844dc55f731e"/>
    <ds:schemaRef ds:uri="5929daef-c0dd-4a31-9a60-db9a8bbd8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EDF17F-0A51-4A13-8C64-1F11500A4E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LibreOffice/6.2.2.2$Windows_X86_64 LibreOffice_project/2b840030fec2aae0fd2658d8d4f9548af4e3518d</Application>
  <Pages>12</Pages>
  <Words>5344</Words>
  <Characters>33345</Characters>
  <CharactersWithSpaces>38571</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2020-09-02T10:25:00Z</dcterms:created>
  <dc:creator>Carra Camilla</dc:creator>
  <dc:description/>
  <dc:language>it-IT</dc:language>
  <cp:lastModifiedBy>Carra Camilla</cp:lastModifiedBy>
  <dcterms:modified xsi:type="dcterms:W3CDTF">2020-09-02T17:12:00Z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0x010100332D2815A8E125418A0045482C7D1AE5</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