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Intestazione"/>
        <w:tabs>
          <w:tab w:val="clear" w:pos="9638"/>
          <w:tab w:val="center" w:pos="4819" w:leader="none"/>
          <w:tab w:val="right" w:pos="9044" w:leader="none"/>
        </w:tabs>
        <w:jc w:val="center"/>
        <w:rPr>
          <w:rFonts w:ascii="Arial" w:hAnsi="Arial" w:cs="Arial"/>
          <w:b/>
          <w:b/>
          <w:bCs/>
          <w:color w:val="auto"/>
          <w:highlight w:val="yellow"/>
        </w:rPr>
      </w:pPr>
      <w:r>
        <w:rPr>
          <w:rFonts w:cs="Arial" w:ascii="Arial" w:hAnsi="Arial"/>
          <w:b/>
          <w:bCs/>
          <w:color w:val="auto"/>
          <w:highlight w:val="yellow"/>
        </w:rPr>
      </w:r>
    </w:p>
    <w:tbl>
      <w:tblPr>
        <w:tblW w:w="9731" w:type="dxa"/>
        <w:jc w:val="left"/>
        <w:tblInd w:w="0" w:type="dxa"/>
        <w:tblCellMar>
          <w:top w:w="0" w:type="dxa"/>
          <w:left w:w="70" w:type="dxa"/>
          <w:bottom w:w="0" w:type="dxa"/>
          <w:right w:w="70" w:type="dxa"/>
        </w:tblCellMar>
      </w:tblPr>
      <w:tblGrid>
        <w:gridCol w:w="2160"/>
        <w:gridCol w:w="7570"/>
      </w:tblGrid>
      <w:tr>
        <w:trPr/>
        <w:tc>
          <w:tcPr>
            <w:tcW w:w="2160" w:type="dxa"/>
            <w:tcBorders/>
            <w:shd w:fill="auto" w:val="clear"/>
          </w:tcPr>
          <w:p>
            <w:pPr>
              <w:pStyle w:val="Pidipagina"/>
              <w:rPr/>
            </w:pPr>
            <w:r>
              <w:rPr/>
              <w:object>
                <v:shape id="ole_rId2" style="width:86.4pt;height:73.7pt" o:ole="">
                  <v:imagedata r:id="rId3" o:title=""/>
                </v:shape>
                <o:OLEObject Type="Embed" ProgID="" ShapeID="ole_rId2" DrawAspect="Content" ObjectID="_770291468" r:id="rId2"/>
              </w:object>
            </w:r>
          </w:p>
        </w:tc>
        <w:tc>
          <w:tcPr>
            <w:tcW w:w="7570" w:type="dxa"/>
            <w:tcBorders/>
            <w:shd w:fill="auto" w:val="clear"/>
          </w:tcPr>
          <w:p>
            <w:pPr>
              <w:pStyle w:val="Normal"/>
              <w:snapToGrid w:val="false"/>
              <w:rPr>
                <w:bCs/>
                <w:sz w:val="16"/>
              </w:rPr>
            </w:pPr>
            <w:r>
              <w:rPr>
                <w:bCs/>
                <w:sz w:val="16"/>
              </w:rPr>
            </w:r>
          </w:p>
          <w:p>
            <w:pPr>
              <w:pStyle w:val="Normal"/>
              <w:rPr>
                <w:bCs/>
                <w:sz w:val="16"/>
              </w:rPr>
            </w:pPr>
            <w:r>
              <w:rPr>
                <w:bCs/>
                <w:sz w:val="16"/>
              </w:rPr>
            </w:r>
          </w:p>
          <w:p>
            <w:pPr>
              <w:pStyle w:val="Normal"/>
              <w:rPr>
                <w:bCs/>
                <w:sz w:val="16"/>
              </w:rPr>
            </w:pPr>
            <w:r>
              <w:rPr>
                <w:bCs/>
                <w:sz w:val="16"/>
              </w:rPr>
            </w:r>
          </w:p>
          <w:p>
            <w:pPr>
              <w:pStyle w:val="Normal"/>
              <w:rPr>
                <w:rFonts w:ascii="Trebuchet MS" w:hAnsi="Trebuchet MS" w:cs="Trebuchet MS"/>
                <w:b/>
                <w:b/>
                <w:bCs/>
              </w:rPr>
            </w:pPr>
            <w:r>
              <w:rPr>
                <w:rFonts w:cs="Trebuchet MS" w:ascii="Trebuchet MS" w:hAnsi="Trebuchet MS"/>
                <w:b/>
                <w:bCs/>
              </w:rPr>
              <w:t>AREA SVILUPPO TERRITORIALE</w:t>
            </w:r>
          </w:p>
          <w:p>
            <w:pPr>
              <w:pStyle w:val="Normal"/>
              <w:rPr/>
            </w:pPr>
            <w:r>
              <w:rPr/>
            </w:r>
          </w:p>
          <w:p>
            <w:pPr>
              <w:pStyle w:val="Normal"/>
              <w:rPr>
                <w:rFonts w:ascii="Trebuchet MS" w:hAnsi="Trebuchet MS" w:cs="Trebuchet MS"/>
                <w:bCs/>
                <w:sz w:val="16"/>
              </w:rPr>
            </w:pPr>
            <w:r>
              <w:rPr>
                <w:rFonts w:cs="Trebuchet MS" w:ascii="Trebuchet MS" w:hAnsi="Trebuchet MS"/>
                <w:bCs/>
                <w:sz w:val="16"/>
              </w:rPr>
            </w:r>
          </w:p>
        </w:tc>
      </w:tr>
    </w:tbl>
    <w:p>
      <w:pPr>
        <w:pStyle w:val="Corpodeltesto"/>
        <w:spacing w:lineRule="auto" w:line="240"/>
        <w:jc w:val="center"/>
        <w:rPr>
          <w:rFonts w:cs="Arial"/>
          <w:b/>
          <w:b/>
          <w:bCs/>
          <w:i w:val="false"/>
          <w:i w:val="false"/>
          <w:iCs w:val="false"/>
          <w:outline w:val="false"/>
          <w:color w:val="auto"/>
          <w:sz w:val="22"/>
          <w:szCs w:val="22"/>
          <w:u w:val="single" w:color="000000"/>
          <w14:textFill>
            <w14:solidFill>
              <w14:srgbClr w14:val="000000"/>
            </w14:solidFill>
          </w14:textFill>
        </w:rPr>
      </w:pPr>
      <w:r>
        <w:rPr>
          <w:rFonts w:cs="Arial"/>
          <w:b/>
          <w:bCs/>
          <w:i w:val="false"/>
          <w:iCs w:val="false"/>
          <w:outline w:val="false"/>
          <w:color w:val="auto"/>
          <w:sz w:val="22"/>
          <w:szCs w:val="22"/>
          <w:u w:val="single" w:color="000000"/>
          <w14:textFill>
            <w14:solidFill>
              <w14:srgbClr w14:val="000000"/>
            </w14:solidFill>
          </w14:textFill>
        </w:rPr>
      </w:r>
    </w:p>
    <w:p>
      <w:pPr>
        <w:pStyle w:val="Corpodeltesto"/>
        <w:spacing w:lineRule="auto" w:line="240"/>
        <w:jc w:val="center"/>
        <w:rPr>
          <w:b/>
          <w:b/>
          <w:bCs/>
          <w:outline w:val="false"/>
          <w:color w:val="000000"/>
          <w:sz w:val="22"/>
          <w:szCs w:val="22"/>
          <w:u w:val="single" w:color="000000"/>
          <w14:textFill>
            <w14:solidFill>
              <w14:srgbClr w14:val="000000"/>
            </w14:solidFill>
          </w14:textFill>
        </w:rPr>
      </w:pPr>
      <w:r>
        <w:rPr>
          <w:b/>
          <w:bCs/>
          <w:outline w:val="false"/>
          <w:color w:val="000000"/>
          <w:sz w:val="22"/>
          <w:szCs w:val="22"/>
          <w:u w:val="single" w:color="000000"/>
          <w14:textFill>
            <w14:solidFill>
              <w14:srgbClr w14:val="000000"/>
            </w14:solidFill>
          </w14:textFill>
        </w:rPr>
      </w:r>
    </w:p>
    <w:p>
      <w:pPr>
        <w:pStyle w:val="Corpodeltesto"/>
        <w:spacing w:lineRule="auto" w:line="240"/>
        <w:jc w:val="center"/>
        <w:rPr/>
      </w:pPr>
      <w:r>
        <w:rPr>
          <w:b/>
          <w:bCs/>
          <w:outline w:val="false"/>
          <w:color w:val="000000"/>
          <w:sz w:val="22"/>
          <w:szCs w:val="22"/>
          <w:u w:val="single" w:color="000000"/>
          <w:lang w:val="it-IT"/>
          <w14:textFill>
            <w14:solidFill>
              <w14:srgbClr w14:val="000000"/>
            </w14:solidFill>
          </w14:textFill>
        </w:rPr>
        <w:t>CONTRATTO DI SERVIZIO ATTINENTE ALL’ARCHITETTURA E ALL’INGEGNERIA</w:t>
      </w:r>
    </w:p>
    <w:p>
      <w:pPr>
        <w:pStyle w:val="Corpodeltesto"/>
        <w:spacing w:lineRule="auto" w:line="240"/>
        <w:rPr>
          <w:b/>
          <w:b/>
          <w:bCs/>
          <w:sz w:val="22"/>
          <w:szCs w:val="22"/>
          <w:u w:val="single" w:color="000000"/>
        </w:rPr>
      </w:pPr>
      <w:r>
        <w:rPr>
          <w:b/>
          <w:bCs/>
          <w:sz w:val="22"/>
          <w:szCs w:val="22"/>
          <w:u w:val="single" w:color="000000"/>
        </w:rPr>
      </w:r>
    </w:p>
    <w:p>
      <w:pPr>
        <w:pStyle w:val="Corpodeltesto"/>
        <w:spacing w:lineRule="auto" w:line="240"/>
        <w:rPr>
          <w:b/>
          <w:b/>
          <w:bCs/>
          <w:sz w:val="22"/>
          <w:szCs w:val="22"/>
          <w:u w:val="single" w:color="000000"/>
        </w:rPr>
      </w:pPr>
      <w:r>
        <w:rPr>
          <w:b/>
          <w:bCs/>
          <w:sz w:val="22"/>
          <w:szCs w:val="22"/>
          <w:u w:val="single" w:color="000000"/>
        </w:rPr>
      </w:r>
    </w:p>
    <w:p>
      <w:pPr>
        <w:pStyle w:val="Corpodeltesto"/>
        <w:spacing w:lineRule="auto" w:line="240"/>
        <w:rPr/>
      </w:pPr>
      <w:r>
        <w:rPr>
          <w:b/>
          <w:bCs/>
          <w:sz w:val="22"/>
          <w:szCs w:val="22"/>
          <w:u w:val="single" w:color="000000"/>
          <w:lang w:val="it-IT"/>
        </w:rPr>
        <w:t>ART. 1 OGGETTO DEL SERVIZIO</w:t>
      </w:r>
    </w:p>
    <w:p>
      <w:pPr>
        <w:pStyle w:val="Corpodeltesto3"/>
        <w:spacing w:lineRule="auto" w:line="240"/>
        <w:rPr/>
      </w:pPr>
      <w:r>
        <w:rPr>
          <w:lang w:val="it-IT"/>
        </w:rPr>
        <w:t xml:space="preserve">Il Comune di Reggio nell’Emilia (in seguito definito “committente”) conferisce </w:t>
      </w:r>
      <w:r>
        <w:rPr>
          <w:outline w:val="false"/>
          <w:color w:val="000000"/>
          <w:u w:val="none" w:color="000000"/>
          <w:lang w:val="it-IT"/>
          <w14:textFill>
            <w14:solidFill>
              <w14:srgbClr w14:val="000000"/>
            </w14:solidFill>
          </w14:textFill>
        </w:rPr>
        <w:t xml:space="preserve">all’architetto Luca Emanueli (in seguito definito “affidatario”) con studio professionale a Reggio Emilia in via Gian Battista Trolli n° 3, iscritto all’Ordine Architetti Reggio Emilia al n° 742, P.IVA 04471670481, C.F. MNLLCU61H04I138N, </w:t>
      </w:r>
      <w:r>
        <w:rPr>
          <w:lang w:val="it-IT"/>
        </w:rPr>
        <w:t>il servizio di</w:t>
      </w:r>
      <w:bookmarkStart w:id="0" w:name="__DdeLink__6118_3064639617"/>
      <w:r>
        <w:rPr>
          <w:lang w:val="it-IT"/>
        </w:rPr>
        <w:t xml:space="preserve"> progettazione del </w:t>
      </w:r>
      <w:r>
        <w:rPr>
          <w:b/>
          <w:bCs/>
          <w:lang w:val="it-IT"/>
        </w:rPr>
        <w:t>Masterplan della fascia ferroviaria</w:t>
      </w:r>
      <w:r>
        <w:rPr>
          <w:lang w:val="it-IT"/>
        </w:rPr>
        <w:t>.</w:t>
      </w:r>
      <w:bookmarkEnd w:id="0"/>
    </w:p>
    <w:p>
      <w:pPr>
        <w:pStyle w:val="Corpodeltesto3"/>
        <w:spacing w:lineRule="auto" w:line="240"/>
        <w:rPr/>
      </w:pPr>
      <w:r>
        <w:rPr/>
      </w:r>
    </w:p>
    <w:p>
      <w:pPr>
        <w:pStyle w:val="Corpodeltesto3"/>
        <w:spacing w:lineRule="auto" w:line="240"/>
        <w:rPr/>
      </w:pPr>
      <w:r>
        <w:rPr/>
      </w:r>
    </w:p>
    <w:p>
      <w:pPr>
        <w:pStyle w:val="Corpodeltesto"/>
        <w:spacing w:lineRule="auto" w:line="240"/>
        <w:rPr/>
      </w:pPr>
      <w:r>
        <w:rPr>
          <w:b/>
          <w:bCs/>
          <w:sz w:val="22"/>
          <w:szCs w:val="22"/>
          <w:u w:val="single" w:color="000000"/>
          <w:lang w:val="it-IT"/>
        </w:rPr>
        <w:t>ART. 2 PRESTAZIONI PROFESSIONALI</w:t>
      </w:r>
    </w:p>
    <w:p>
      <w:pPr>
        <w:pStyle w:val="Corpodeltesto3"/>
        <w:spacing w:lineRule="auto" w:line="240"/>
        <w:rPr>
          <w:rFonts w:cs="Arial"/>
          <w:color w:val="auto"/>
          <w:sz w:val="22"/>
        </w:rPr>
      </w:pPr>
      <w:r>
        <w:rPr>
          <w:rFonts w:cs="Arial"/>
          <w:color w:val="auto"/>
          <w:sz w:val="22"/>
        </w:rPr>
      </w:r>
    </w:p>
    <w:p>
      <w:pPr>
        <w:pStyle w:val="Corpodeltesto3"/>
        <w:spacing w:lineRule="auto" w:line="240"/>
        <w:rPr>
          <w:rFonts w:cs="Arial"/>
          <w:color w:val="auto"/>
          <w:sz w:val="22"/>
        </w:rPr>
      </w:pPr>
      <w:r>
        <w:rPr>
          <w:rFonts w:cs="Arial"/>
          <w:color w:val="auto"/>
          <w:sz w:val="22"/>
        </w:rPr>
        <w:t>Il Masterplan della fascia ferroviaria di Reggio Emilia si occupa di un area compresa tra il sottopasso di via Cisalpina a ovest e il sottopasso della stazione di Reggio Emilia San Lazzaro a est, valutando le funzioni insediate e le iniziative di trasformazione urbana comprese in una fascia di circa 300 metri a nord e sud della ferrovia, con riguardo anche alle funzioni principali presenti nell’intera area urbana connesse da infrastrutture della mobilità nord-sud presenti o in progetto che attraversino la fascia stessa.</w:t>
      </w:r>
    </w:p>
    <w:p>
      <w:pPr>
        <w:pStyle w:val="Corpodeltesto"/>
        <w:spacing w:lineRule="auto" w:line="240"/>
        <w:rPr/>
      </w:pPr>
      <w:r>
        <w:rPr/>
      </w:r>
    </w:p>
    <w:p>
      <w:pPr>
        <w:pStyle w:val="Corpodeltesto3"/>
        <w:spacing w:lineRule="auto" w:line="240"/>
        <w:rPr/>
      </w:pPr>
      <w:r>
        <w:rPr/>
        <w:t>Il Masterplan dovrà quindi valutare incongruenze e potenzialità delle diverse previsioni ricercandone la complementarietà e suggerendo soluzioni e progetti utili a tale scopo.</w:t>
      </w:r>
    </w:p>
    <w:p>
      <w:pPr>
        <w:pStyle w:val="Corpodeltesto3"/>
        <w:spacing w:lineRule="auto" w:line="240"/>
        <w:rPr/>
      </w:pPr>
      <w:r>
        <w:rPr/>
      </w:r>
    </w:p>
    <w:p>
      <w:pPr>
        <w:pStyle w:val="Corpodeltesto3"/>
        <w:spacing w:lineRule="auto" w:line="240"/>
        <w:rPr/>
      </w:pPr>
      <w:r>
        <w:rPr/>
        <w:t>In particolare il Masterplan dovrà valutare congiuntamente tutte le ipotesi di attraversamento della ferrovia e sviluppare una proposta di massima che complessivamente massimizzi la permeabilità della ferrovia e la ricucitura dei due lati di città, sviluppando:</w:t>
      </w:r>
    </w:p>
    <w:p>
      <w:pPr>
        <w:pStyle w:val="Corpodeltesto3"/>
        <w:spacing w:lineRule="auto" w:line="240"/>
        <w:rPr/>
      </w:pPr>
      <w:r>
        <w:rPr/>
        <w:t>- la mobilità sostenibile e di prossimità;</w:t>
      </w:r>
    </w:p>
    <w:p>
      <w:pPr>
        <w:pStyle w:val="Corpodeltesto3"/>
        <w:spacing w:lineRule="auto" w:line="240"/>
        <w:rPr/>
      </w:pPr>
      <w:r>
        <w:rPr/>
        <w:t>- la riduzione delle percorrenze dei servizi di trasporto pubblico massimizzando la capacità dio interscambi;</w:t>
      </w:r>
    </w:p>
    <w:p>
      <w:pPr>
        <w:pStyle w:val="Corpodeltesto3"/>
        <w:spacing w:lineRule="auto" w:line="240"/>
        <w:rPr/>
      </w:pPr>
      <w:r>
        <w:rPr/>
        <w:t>- risolvere il deficit di connessione viabilistica rappresentato oggi dalla congestione del sottopasso di via Makallè e dal cavalcaferrovia di via del Partigiano, senza configurare soluzioni che abbaino l’effetto di attirare maggiore traffico veicolare verso o in attraversamento della zona esaminata.</w:t>
      </w:r>
    </w:p>
    <w:p>
      <w:pPr>
        <w:pStyle w:val="Corpodeltesto3"/>
        <w:spacing w:lineRule="auto" w:line="240"/>
        <w:rPr/>
      </w:pPr>
      <w:r>
        <w:rPr/>
      </w:r>
    </w:p>
    <w:p>
      <w:pPr>
        <w:pStyle w:val="Corpodeltesto3"/>
        <w:spacing w:lineRule="auto" w:line="240"/>
        <w:rPr/>
      </w:pPr>
      <w:r>
        <w:rPr/>
        <w:t>Proposte e progetti ulteriori di ricucitura tra i due lati della città e di riqualificazione architettonica, paesaggistica e ambientale della zona, saranno considerati come valori premianti nella proposta di progettuale.</w:t>
      </w:r>
    </w:p>
    <w:p>
      <w:pPr>
        <w:pStyle w:val="Corpodeltesto3"/>
        <w:spacing w:lineRule="auto" w:line="240"/>
        <w:rPr/>
      </w:pPr>
      <w:r>
        <w:rPr/>
        <w:t>Le proposte del Masterplan dovranno essere fatte valutando:</w:t>
      </w:r>
    </w:p>
    <w:p>
      <w:pPr>
        <w:pStyle w:val="Corpodeltesto3"/>
        <w:spacing w:lineRule="auto" w:line="240"/>
        <w:rPr/>
      </w:pPr>
      <w:r>
        <w:rPr/>
        <w:t>- la capacità di investimenti pluriennale del Comune di Reggio Emilia;</w:t>
      </w:r>
    </w:p>
    <w:p>
      <w:pPr>
        <w:pStyle w:val="Corpodeltesto3"/>
        <w:spacing w:lineRule="auto" w:line="240"/>
        <w:rPr/>
      </w:pPr>
      <w:r>
        <w:rPr/>
        <w:t>- la disponibilità di RFI di investire sulla fascia ferroviaria e in particolare sulla stazione storica e su piazzale Marconi;</w:t>
      </w:r>
    </w:p>
    <w:p>
      <w:pPr>
        <w:pStyle w:val="Corpodeltesto3"/>
        <w:spacing w:lineRule="auto" w:line="240"/>
        <w:rPr/>
      </w:pPr>
      <w:r>
        <w:rPr/>
        <w:t>- le potenzialità eventualmente derivanti dalle iniziative di riqualificazione in corso;</w:t>
      </w:r>
    </w:p>
    <w:p>
      <w:pPr>
        <w:pStyle w:val="Corpodeltesto3"/>
        <w:spacing w:lineRule="auto" w:line="240"/>
        <w:rPr/>
      </w:pPr>
      <w:r>
        <w:rPr/>
        <w:t>- il potenziale investimento per la realizzazione della linea tranviaria;</w:t>
      </w:r>
    </w:p>
    <w:p>
      <w:pPr>
        <w:pStyle w:val="Corpodeltesto3"/>
        <w:spacing w:lineRule="auto" w:line="240"/>
        <w:rPr/>
      </w:pPr>
      <w:r>
        <w:rPr/>
        <w:t>- ipotesi di investimento aggiuntive da inquadrarsi in un piano straordinario di investimenti da sottoporsi eventualmente alla Regione Emilia-Romagna o allo Stato Italiano nell’ambito dell’azione di infrastrutturaziuone e riqualificazione ambientale del Paese.</w:t>
      </w:r>
    </w:p>
    <w:p>
      <w:pPr>
        <w:pStyle w:val="Corpodeltesto3"/>
        <w:spacing w:lineRule="auto" w:line="240"/>
        <w:rPr/>
      </w:pPr>
      <w:r>
        <w:rPr/>
      </w:r>
    </w:p>
    <w:p>
      <w:pPr>
        <w:pStyle w:val="Corpodeltesto3"/>
        <w:spacing w:lineRule="auto" w:line="240"/>
        <w:rPr>
          <w:rFonts w:cs="Arial"/>
          <w:color w:val="auto"/>
          <w:sz w:val="22"/>
        </w:rPr>
      </w:pPr>
      <w:r>
        <w:rPr>
          <w:rFonts w:cs="Arial"/>
          <w:color w:val="auto"/>
          <w:sz w:val="22"/>
        </w:rPr>
        <w:t>Il Masterplan deve contenere indicazioni di massima su eventuali interventi di infrastrutturazione puntuale o lineare o su altre necessità progettuali, al fine da valutarne l’eventuale inserimento nel PUMS e nel PUG, che poi saranno eventualmente sviluppati con successivi studi di fattibilità tecnico ed economica.</w:t>
      </w:r>
    </w:p>
    <w:p>
      <w:pPr>
        <w:pStyle w:val="Corpodeltesto"/>
        <w:spacing w:lineRule="auto" w:line="240"/>
        <w:rPr/>
      </w:pPr>
      <w:r>
        <w:rPr/>
      </w:r>
    </w:p>
    <w:p>
      <w:pPr>
        <w:pStyle w:val="Corpodeltesto"/>
        <w:spacing w:lineRule="auto" w:line="240"/>
        <w:rPr>
          <w:rFonts w:cs="Arial"/>
          <w:color w:val="auto"/>
          <w:sz w:val="22"/>
        </w:rPr>
      </w:pPr>
      <w:r>
        <w:rPr>
          <w:rFonts w:cs="Arial"/>
          <w:color w:val="auto"/>
          <w:sz w:val="22"/>
        </w:rPr>
        <w:t>Le prestazioni oggetto del presente servizio sono finalizzate alla definizione dei seguenti temi:</w:t>
      </w:r>
    </w:p>
    <w:p>
      <w:pPr>
        <w:pStyle w:val="Corpodeltesto"/>
        <w:spacing w:lineRule="auto" w:line="240"/>
        <w:rPr>
          <w:color w:val="auto"/>
          <w:sz w:val="22"/>
        </w:rPr>
      </w:pPr>
      <w:r>
        <w:rPr>
          <w:color w:val="auto"/>
          <w:sz w:val="22"/>
        </w:rPr>
        <w:t>- analisi dei progetti e previsioni e rappresentazione sinottica degli stessi per la fascia ferroviaria;</w:t>
      </w:r>
    </w:p>
    <w:p>
      <w:pPr>
        <w:pStyle w:val="Corpodeltesto"/>
        <w:spacing w:lineRule="auto" w:line="240"/>
        <w:rPr>
          <w:color w:val="auto"/>
          <w:sz w:val="22"/>
        </w:rPr>
      </w:pPr>
      <w:r>
        <w:rPr>
          <w:color w:val="auto"/>
          <w:sz w:val="22"/>
        </w:rPr>
        <w:t>- elaborazione di ipotesi concettuali e progettuali per la fascia ferroviaria relativamente alle ipotesi di connessione dei sistemi urbani e ambientali interrotti dalla ferrovia;</w:t>
      </w:r>
    </w:p>
    <w:p>
      <w:pPr>
        <w:pStyle w:val="Corpodeltesto"/>
        <w:spacing w:lineRule="auto" w:line="240"/>
        <w:rPr>
          <w:color w:val="auto"/>
          <w:sz w:val="22"/>
        </w:rPr>
      </w:pPr>
      <w:r>
        <w:rPr>
          <w:color w:val="auto"/>
          <w:sz w:val="22"/>
        </w:rPr>
        <w:t>- identificazione e qualificazione dei progetti da prevedere nel PUMS e nel PUG.</w:t>
      </w:r>
    </w:p>
    <w:p>
      <w:pPr>
        <w:pStyle w:val="Corpodeltesto"/>
        <w:spacing w:lineRule="auto" w:line="240"/>
        <w:rPr>
          <w:rFonts w:cs="Arial"/>
          <w:color w:val="auto"/>
          <w:sz w:val="22"/>
        </w:rPr>
      </w:pPr>
      <w:r>
        <w:rPr>
          <w:rFonts w:cs="Arial"/>
          <w:color w:val="auto"/>
          <w:sz w:val="22"/>
        </w:rPr>
      </w:r>
    </w:p>
    <w:p>
      <w:pPr>
        <w:pStyle w:val="Normal"/>
        <w:tabs>
          <w:tab w:val="clear" w:pos="708"/>
          <w:tab w:val="left" w:pos="284"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jc w:val="both"/>
        <w:rPr>
          <w:rFonts w:ascii="Arial" w:hAnsi="Arial" w:cs="Arial"/>
          <w:color w:val="auto"/>
          <w:sz w:val="22"/>
        </w:rPr>
      </w:pPr>
      <w:r>
        <w:rPr>
          <w:rFonts w:cs="Arial" w:ascii="Arial" w:hAnsi="Arial"/>
          <w:color w:val="auto"/>
          <w:sz w:val="22"/>
        </w:rPr>
        <w:t>In particolare:</w:t>
      </w:r>
    </w:p>
    <w:p>
      <w:pPr>
        <w:pStyle w:val="Normal"/>
        <w:numPr>
          <w:ilvl w:val="0"/>
          <w:numId w:val="3"/>
        </w:numPr>
        <w:spacing w:before="0" w:after="0"/>
        <w:jc w:val="both"/>
        <w:rPr>
          <w:rFonts w:ascii="Arial" w:hAnsi="Arial" w:cs="Arial"/>
          <w:color w:val="auto"/>
          <w:sz w:val="22"/>
        </w:rPr>
      </w:pPr>
      <w:r>
        <w:rPr>
          <w:rFonts w:cs="Arial" w:ascii="Arial" w:hAnsi="Arial"/>
          <w:color w:val="auto"/>
          <w:sz w:val="22"/>
        </w:rPr>
        <w:t>le tavole grafiche dovranno essere consegnate in una copia cartacea e su supporto informatico in formato .dwg, e ciascun disegno deve essere realizzato in un numero di layer sufficiente a distinguere le varie parti;</w:t>
      </w:r>
    </w:p>
    <w:p>
      <w:pPr>
        <w:pStyle w:val="Normal"/>
        <w:numPr>
          <w:ilvl w:val="0"/>
          <w:numId w:val="3"/>
        </w:numPr>
        <w:spacing w:before="0" w:after="0"/>
        <w:jc w:val="both"/>
        <w:rPr>
          <w:rFonts w:ascii="Arial" w:hAnsi="Arial" w:cs="Arial"/>
          <w:color w:val="auto"/>
          <w:sz w:val="22"/>
        </w:rPr>
      </w:pPr>
      <w:r>
        <w:rPr>
          <w:rFonts w:cs="Arial" w:ascii="Arial" w:hAnsi="Arial"/>
          <w:color w:val="auto"/>
          <w:sz w:val="22"/>
        </w:rPr>
        <w:t>eventuali relazioni tecniche dovranno essere consegnate in una copia cartacea e su supporto informatico in formato .doc.</w:t>
      </w:r>
    </w:p>
    <w:p>
      <w:pPr>
        <w:pStyle w:val="Normal"/>
        <w:numPr>
          <w:ilvl w:val="0"/>
          <w:numId w:val="3"/>
        </w:numPr>
        <w:jc w:val="both"/>
        <w:rPr>
          <w:rFonts w:ascii="Arial" w:hAnsi="Arial" w:cs="Arial"/>
          <w:color w:val="auto"/>
          <w:sz w:val="22"/>
        </w:rPr>
      </w:pPr>
      <w:r>
        <w:rPr>
          <w:rFonts w:cs="Arial" w:ascii="Arial" w:hAnsi="Arial"/>
          <w:color w:val="auto"/>
          <w:sz w:val="22"/>
        </w:rPr>
        <w:t>eventuali computi metrici estimativi dovranno essere consegnati su programma compatibile con quelli in uso dal committente (STR).</w:t>
      </w:r>
    </w:p>
    <w:p>
      <w:pPr>
        <w:pStyle w:val="Corpodeltesto"/>
        <w:spacing w:lineRule="auto" w:line="240"/>
        <w:rPr>
          <w:rFonts w:cs="Arial"/>
          <w:color w:val="auto"/>
          <w:sz w:val="22"/>
        </w:rPr>
      </w:pPr>
      <w:r>
        <w:rPr>
          <w:rFonts w:cs="Arial"/>
          <w:color w:val="auto"/>
          <w:sz w:val="22"/>
        </w:rPr>
      </w:r>
    </w:p>
    <w:p>
      <w:pPr>
        <w:pStyle w:val="Corpodeltesto"/>
        <w:spacing w:lineRule="auto" w:line="240"/>
        <w:rPr>
          <w:rFonts w:cs="Arial"/>
          <w:color w:val="auto"/>
          <w:sz w:val="22"/>
        </w:rPr>
      </w:pPr>
      <w:r>
        <w:rPr>
          <w:rFonts w:cs="Arial"/>
          <w:color w:val="auto"/>
          <w:sz w:val="22"/>
        </w:rPr>
        <w:t>Nello svolgimento delle suddette attività, l'affidatario è tenuto a:</w:t>
      </w:r>
    </w:p>
    <w:p>
      <w:pPr>
        <w:pStyle w:val="Corpodeltesto"/>
        <w:keepNext w:val="false"/>
        <w:keepLines w:val="false"/>
        <w:pageBreakBefore w:val="false"/>
        <w:widowControl/>
        <w:numPr>
          <w:ilvl w:val="0"/>
          <w:numId w:val="0"/>
        </w:numPr>
        <w:shd w:val="clear" w:color="auto" w:fill="auto"/>
        <w:tabs>
          <w:tab w:val="clear" w:pos="288"/>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uppressAutoHyphens w:val="true"/>
        <w:bidi w:val="0"/>
        <w:spacing w:lineRule="auto" w:line="240" w:beforeAutospacing="0" w:before="0" w:afterAutospacing="0" w:after="0"/>
        <w:ind w:left="-57" w:right="0" w:hanging="0"/>
        <w:jc w:val="both"/>
        <w:rPr/>
      </w:pPr>
      <w:r>
        <w:rPr>
          <w:color w:val="auto"/>
          <w:sz w:val="22"/>
        </w:rPr>
        <w:t>- verificare, aggiornare</w:t>
      </w:r>
      <w:r>
        <w:rPr>
          <w:sz w:val="22"/>
        </w:rPr>
        <w:t xml:space="preserve"> ed eventualmente integrare gli elaborati in possesso del committente e che lo stesso ritiene utile fornire per l’espletamento del servizio;</w:t>
      </w:r>
    </w:p>
    <w:p>
      <w:pPr>
        <w:pStyle w:val="Corpodeltesto"/>
        <w:keepNext w:val="false"/>
        <w:keepLines w:val="false"/>
        <w:pageBreakBefore w:val="false"/>
        <w:widowControl/>
        <w:numPr>
          <w:ilvl w:val="0"/>
          <w:numId w:val="0"/>
        </w:numPr>
        <w:shd w:val="clear" w:color="auto" w:fill="auto"/>
        <w:tabs>
          <w:tab w:val="clear" w:pos="288"/>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uppressAutoHyphens w:val="true"/>
        <w:bidi w:val="0"/>
        <w:spacing w:lineRule="auto" w:line="240" w:beforeAutospacing="0" w:before="0" w:afterAutospacing="0" w:after="0"/>
        <w:ind w:left="-57" w:right="0" w:hanging="0"/>
        <w:jc w:val="both"/>
        <w:rPr/>
      </w:pPr>
      <w:r>
        <w:rPr>
          <w:rFonts w:cs="Arial"/>
          <w:sz w:val="22"/>
        </w:rPr>
        <w:t>- collaborare e coordinarsi con gli uffici dei Servizi del committente, nonché con il</w:t>
      </w:r>
      <w:r>
        <w:rPr>
          <w:sz w:val="22"/>
        </w:rPr>
        <w:t xml:space="preserve"> rup ed i suoi collaboratori responsabili del progetto.</w:t>
      </w:r>
    </w:p>
    <w:p>
      <w:pPr>
        <w:pStyle w:val="Corpodeltesto"/>
        <w:spacing w:lineRule="auto" w:line="240"/>
        <w:rPr>
          <w:rFonts w:cs="Arial"/>
          <w:color w:val="auto"/>
          <w:sz w:val="22"/>
          <w:highlight w:val="yellow"/>
        </w:rPr>
      </w:pPr>
      <w:r>
        <w:rPr>
          <w:rFonts w:cs="Arial"/>
          <w:color w:val="auto"/>
          <w:sz w:val="22"/>
          <w:highlight w:val="yellow"/>
        </w:rPr>
      </w:r>
    </w:p>
    <w:p>
      <w:pPr>
        <w:pStyle w:val="Corpodeltesto"/>
        <w:spacing w:lineRule="auto" w:line="240"/>
        <w:rPr>
          <w:rFonts w:cs="Arial"/>
          <w:sz w:val="22"/>
        </w:rPr>
      </w:pPr>
      <w:r>
        <w:rPr>
          <w:rFonts w:cs="Arial"/>
          <w:sz w:val="22"/>
        </w:rPr>
        <w:t>L’affidatario non può avvalersi del subappalto, fatta eccezione per elaborati specialistici e di dettaglio, redazione grafica degli elaborati progettuali, solo se espressamente richieste o ritenute necessarie; in questi casi resta comunque impregiudicata la responsabilità dell'affidatario che resta l’unico referente per il committente.</w:t>
      </w:r>
    </w:p>
    <w:p>
      <w:pPr>
        <w:pStyle w:val="Normal"/>
        <w:rPr>
          <w:rFonts w:cs="Arial"/>
          <w:sz w:val="22"/>
        </w:rPr>
      </w:pPr>
      <w:r>
        <w:rPr>
          <w:rFonts w:cs="Arial"/>
          <w:sz w:val="22"/>
        </w:rPr>
      </w:r>
    </w:p>
    <w:p>
      <w:pPr>
        <w:pStyle w:val="Corpodeltesto"/>
        <w:spacing w:lineRule="auto" w:line="240"/>
        <w:rPr>
          <w:rFonts w:cs="Arial"/>
          <w:sz w:val="22"/>
        </w:rPr>
      </w:pPr>
      <w:r>
        <w:rPr>
          <w:rFonts w:cs="Arial"/>
          <w:sz w:val="22"/>
        </w:rPr>
        <w:t>Per lo svolgimento delle suddette attività, il committente si impegna a:</w:t>
      </w:r>
    </w:p>
    <w:p>
      <w:pPr>
        <w:pStyle w:val="Corpodeltesto"/>
        <w:tabs>
          <w:tab w:val="clear" w:pos="288"/>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sz w:val="22"/>
        </w:rPr>
      </w:pPr>
      <w:r>
        <w:rPr>
          <w:sz w:val="22"/>
        </w:rPr>
        <w:t>- fornire all'affidatario ogni documento in suo possesso ritenuto utile all’espletamento delle attività affidate;</w:t>
      </w:r>
    </w:p>
    <w:p>
      <w:pPr>
        <w:pStyle w:val="Corpodeltesto"/>
        <w:tabs>
          <w:tab w:val="clear" w:pos="288"/>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rPr>
        <w:t xml:space="preserve">- fornire </w:t>
      </w:r>
      <w:r>
        <w:rPr>
          <w:rFonts w:cs="Arial"/>
          <w:sz w:val="22"/>
        </w:rPr>
        <w:t>i permessi e le autorizzazioni eventualmente necessari per l’accesso ad aree ed immobili di proprietà del committente</w:t>
      </w:r>
      <w:r>
        <w:rPr>
          <w:sz w:val="22"/>
        </w:rPr>
        <w:t>.</w:t>
      </w:r>
    </w:p>
    <w:p>
      <w:pPr>
        <w:pStyle w:val="Corpodeltesto"/>
        <w:tabs>
          <w:tab w:val="clear" w:pos="288"/>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outline w:val="false"/>
          <w:color w:val="000000"/>
          <w:sz w:val="22"/>
          <w:szCs w:val="22"/>
          <w:u w:val="none" w:color="000000"/>
          <w:lang w:val="it-IT"/>
          <w14:textFill>
            <w14:solidFill>
              <w14:srgbClr w14:val="000000"/>
            </w14:solidFill>
          </w14:textFill>
        </w:rPr>
      </w:pPr>
      <w:r>
        <w:rPr>
          <w:outline w:val="false"/>
          <w:color w:val="000000"/>
          <w:sz w:val="22"/>
          <w:szCs w:val="22"/>
          <w:u w:val="none" w:color="000000"/>
          <w:lang w:val="it-IT"/>
          <w14:textFill>
            <w14:solidFill>
              <w14:srgbClr w14:val="000000"/>
            </w14:solidFill>
          </w14:textFill>
        </w:rPr>
      </w:r>
    </w:p>
    <w:p>
      <w:pPr>
        <w:pStyle w:val="Corpodeltesto"/>
        <w:tabs>
          <w:tab w:val="clear" w:pos="288"/>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sz w:val="22"/>
          <w:szCs w:val="22"/>
        </w:rPr>
      </w:pPr>
      <w:r>
        <w:rPr>
          <w:sz w:val="22"/>
          <w:szCs w:val="22"/>
        </w:rPr>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b/>
          <w:bCs/>
          <w:sz w:val="22"/>
          <w:szCs w:val="22"/>
          <w:u w:val="single" w:color="000000"/>
          <w:lang w:val="it-IT"/>
        </w:rPr>
        <w:t>ART. 3  RICHIAMI NORMATIVI</w:t>
      </w:r>
    </w:p>
    <w:p>
      <w:pPr>
        <w:pStyle w:val="Corpodeltesto"/>
        <w:spacing w:lineRule="auto" w:line="240"/>
        <w:rPr/>
      </w:pPr>
      <w:r>
        <w:rPr>
          <w:sz w:val="22"/>
          <w:szCs w:val="22"/>
          <w:lang w:val="it-IT"/>
        </w:rPr>
        <w:t>Il servizio dovrà essere svolto con la più rigorosa osservanza di tutte le norme legislative e regolamentari statali, regionali e locali riguardanti le opere in oggetto, sia generali che relative alle specifiche categorie di opere oggetto del presente servizio, con particolare riferimento alle norme relative alle OO.PP. (D.Lgs. 50/2016 e D.P.R. 207/2010) e alle norme vigenti in materia di sicurezza, antincendio, salute ed igiene del lavoro (D.Lgs. 81/2008 e smi).</w:t>
      </w:r>
    </w:p>
    <w:p>
      <w:pPr>
        <w:pStyle w:val="Corpodeltesto3"/>
        <w:rPr/>
      </w:pPr>
      <w:r>
        <w:rPr>
          <w:lang w:val="it-IT"/>
        </w:rPr>
        <w:t>L'affidatario dichiara di essere a conoscenza di tutte le norme pattizie di cui al protocollo di legalità approvato con P.G.774/2011 e rinnovato con deliberazione P.G. 23050/2013 consultabile al sito http://www.prefettura.it/reggioemilia, che qui si intendono integralmente riportate e di accettarne incondizionatamente il contenuto e gli effetti.</w:t>
      </w:r>
    </w:p>
    <w:p>
      <w:pPr>
        <w:pStyle w:val="Corpodeltesto3"/>
        <w:rPr/>
      </w:pPr>
      <w:r>
        <w:rPr>
          <w:lang w:val="it-IT"/>
        </w:rPr>
        <w:t>L’affidatario dichiara inoltre di essere a conoscenza di quanto disposto all'articolo 53, comma 16-ter, del Decreto Legislativo n. 165 del 2001, ossia che “i dipendenti pubblici che, negli ultimi tre anni di servizio, hanno esercitato poteri autoritativi o negoziali per conto delle pubbliche amministrazioni di cui all’articolo 1, comma 2, non possono svolgere, nei tre anni successivi alla cessazione del rapporto di pubblico impiego, attività lavorativa o professionale presso i soggetti privati destinatari dell'attività della pubblica amministrazione svolta attraverso i medesimi poteri. Pertanto "i contratti conclusi e gli incarichi conferiti in violazione di quanto previsto dal presente comma sono nulli ed e fatto divieto ai soggetti privati che li hanno conclusi o conferiti di contrattare con le pubbliche amministrazioni per i successivi tre anni con obbligo di restituzione dei compensi eventualmente percepiti e accertati ad essi riferiti. Inoltre, ai fini applicativi della suddetta norma, l’articolo 21 del Decreto Legislativo n. 39 del 2013 precisa che “…sono considerati dipendenti delle pubbliche amministrazioni anche i soggetti titolari di uno degli incarichi di cui al presente decreto, ivi compresi i soggetti esterni con i quali l’amministrazione, l’ente pubblico o l’ente di diritto privato in controllo pubblico stabilisce un rapporto di lavoro, subordinato o autonomo. Tali divieti si applicano a far data dalla cessazione dell’incarico.”</w:t>
      </w:r>
    </w:p>
    <w:p>
      <w:pPr>
        <w:pStyle w:val="Corpodeltesto3"/>
        <w:rPr/>
      </w:pPr>
      <w:r>
        <w:rPr>
          <w:lang w:val="it-IT"/>
        </w:rPr>
        <w:t>Nel presente contratto sono integralmente richiamate le norme previste dalla L. 190/12 “Disposizioni per la prevenzione e la repressione della corruzione e dell'illegalità nella Pubblica Amministrazione”. Al riguardo l'appaltatore dichiara di non essere incorso, negli ultimi tre anni, nella violazione dell'art. 53, comma 16-ter del D.Lgs. 165/2001, così come interpretato dall'art. 21 del D.Lgs. n. 39/2013 e si obbliga, altresì, al rispetto del codice generale di comportamento dei dipendenti pubblici approvato con D.P.R. n. 62/2013 e di quello integrativo dei dipendenti del Comune di Reggio Emilia, nei limiti di compatibilità. La violazione degli obblighi di comportamento comporterà per l'ente appaltante la facoltà di risolvere il contratto, qualora, in ragione della consistenza specifica o della reiterazione, la stessa sia ritenuta grave.</w:t>
      </w:r>
    </w:p>
    <w:p>
      <w:pPr>
        <w:pStyle w:val="Corpodeltesto3"/>
        <w:rPr/>
      </w:pPr>
      <w:r>
        <w:rPr>
          <w:outline w:val="false"/>
          <w:color w:val="000000"/>
          <w:u w:val="none" w:color="000000"/>
          <w:lang w:val="it-IT"/>
          <w14:textFill>
            <w14:solidFill>
              <w14:srgbClr w14:val="000000"/>
            </w14:solidFill>
          </w14:textFill>
        </w:rPr>
        <w:t>L’affidatario prende atto dell’attivazione, da parte dell’Ente appaltante, della piattaforma informatica dedicata al “whistleblowing”, sistema che permette, con garanzia di riservatezza, di segnalare illeciti, abusi, illegalità o irregolarità lesivi dell’interesse pubblico, comunicando ai propri dipendenti/collaboratori interessati, tramite e-mail dedicata, la possibilità di accesso al sistema di whistleblowing del Comune di Reggio Emilia, ai fini della segnalazione di condotte illecite di cui siano venuti a conoscenza in ragione del rapporto di lavoro (art. 54 bis del D. Lgs. n. 165/2001, commi 1 e 2). Il software è conforme alla legge n. 179/2017 nonché alle LINEE GUIDA ANAC, Determinazione n. 6 del 2015 e al Comunicato del Presidente ANAC del 5 settembre 2018; di seguito il percorso per accedere alla piattaforma attivata dal Comune di Reggio Emilia, messo a disposizione anche dei dipendenti delle imprese fornitrici: w</w:t>
      </w:r>
      <w:r>
        <w:rPr>
          <w:outline w:val="false"/>
          <w:color w:val="000081"/>
          <w:u w:val="none" w:color="000081"/>
          <w:lang w:val="it-IT"/>
          <w14:textFill>
            <w14:solidFill>
              <w14:srgbClr w14:val="000081"/>
            </w14:solidFill>
          </w14:textFill>
        </w:rPr>
        <w:t>ww.comune.re.it – IlComune</w:t>
      </w:r>
      <w:r>
        <w:rPr>
          <w:outline w:val="false"/>
          <w:color w:val="000000"/>
          <w:u w:val="none" w:color="000000"/>
          <w:lang w:val="it-IT"/>
          <w14:textFill>
            <w14:solidFill>
              <w14:srgbClr w14:val="000000"/>
            </w14:solidFill>
          </w14:textFill>
        </w:rPr>
        <w:t>&gt;</w:t>
      </w:r>
      <w:r>
        <w:rPr>
          <w:outline w:val="false"/>
          <w:color w:val="000081"/>
          <w:u w:val="none" w:color="000081"/>
          <w:lang w:val="it-IT"/>
          <w14:textFill>
            <w14:solidFill>
              <w14:srgbClr w14:val="000081"/>
            </w14:solidFill>
          </w14:textFill>
        </w:rPr>
        <w:t>Amministrazionetrasparente</w:t>
      </w:r>
      <w:r>
        <w:rPr>
          <w:outline w:val="false"/>
          <w:color w:val="000000"/>
          <w:u w:val="none" w:color="000000"/>
          <w:lang w:val="it-IT"/>
          <w14:textFill>
            <w14:solidFill>
              <w14:srgbClr w14:val="000000"/>
            </w14:solidFill>
          </w14:textFill>
        </w:rPr>
        <w:t>&gt;</w:t>
      </w:r>
      <w:r>
        <w:rPr>
          <w:outline w:val="false"/>
          <w:color w:val="000081"/>
          <w:u w:val="none" w:color="000081"/>
          <w:lang w:val="it-IT"/>
          <w14:textFill>
            <w14:solidFill>
              <w14:srgbClr w14:val="000081"/>
            </w14:solidFill>
          </w14:textFill>
        </w:rPr>
        <w:t>Altricontenuti</w:t>
      </w:r>
      <w:r>
        <w:rPr>
          <w:outline w:val="false"/>
          <w:color w:val="000000"/>
          <w:u w:val="none" w:color="000000"/>
          <w:lang w:val="it-IT"/>
          <w14:textFill>
            <w14:solidFill>
              <w14:srgbClr w14:val="000000"/>
            </w14:solidFill>
          </w14:textFill>
        </w:rPr>
        <w:t>&gt;</w:t>
      </w:r>
      <w:r>
        <w:rPr>
          <w:outline w:val="false"/>
          <w:color w:val="000081"/>
          <w:u w:val="none" w:color="000081"/>
          <w:lang w:val="it-IT"/>
          <w14:textFill>
            <w14:solidFill>
              <w14:srgbClr w14:val="000081"/>
            </w14:solidFill>
          </w14:textFill>
        </w:rPr>
        <w:t>Prevenzione della corruzione</w:t>
      </w:r>
      <w:r>
        <w:rPr>
          <w:outline w:val="false"/>
          <w:color w:val="000000"/>
          <w:u w:val="none" w:color="000000"/>
          <w:lang w:val="it-IT"/>
          <w14:textFill>
            <w14:solidFill>
              <w14:srgbClr w14:val="000000"/>
            </w14:solidFill>
          </w14:textFill>
        </w:rPr>
        <w:t>&gt;whistleblowing; nella medesima sezione sono disponibili il manuale operativo per le modalità di segnalazione e i relativi moduli. L’Appaltatore si impegna solennemente a non adottare misure ritorsive nei confronti dei segnalanti.</w:t>
      </w:r>
    </w:p>
    <w:p>
      <w:pPr>
        <w:pStyle w:val="Corpodeltesto3"/>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b/>
          <w:bCs/>
          <w:sz w:val="22"/>
          <w:szCs w:val="22"/>
          <w:u w:val="single" w:color="000000"/>
          <w:lang w:val="it-IT"/>
        </w:rPr>
        <w:t>ART. 4 TEMPI E MODI PER L’ESECUZIONE DEL SERVIZIO</w:t>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b/>
          <w:b/>
          <w:bCs/>
          <w:sz w:val="22"/>
          <w:szCs w:val="22"/>
          <w:u w:val="single" w:color="000000"/>
        </w:rPr>
      </w:pPr>
      <w:r>
        <w:rPr>
          <w:b/>
          <w:bCs/>
          <w:sz w:val="22"/>
          <w:szCs w:val="22"/>
          <w:u w:val="single" w:color="000000"/>
        </w:rPr>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outline w:val="false"/>
          <w:color w:val="000000"/>
          <w:sz w:val="22"/>
          <w:szCs w:val="22"/>
          <w:u w:val="none" w:color="000000"/>
          <w:lang w:val="it-IT"/>
          <w14:textFill>
            <w14:solidFill>
              <w14:srgbClr w14:val="000000"/>
            </w14:solidFill>
          </w14:textFill>
        </w:rPr>
        <w:t>Il masterplan su unico livello, redatto negli elaborati elencati all’art. 2, dovrà essere consegnato entro e non oltre il 28 febbraio 2021.</w:t>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Il professionista è tenuto ad osservare il segreto professionale, è libero di assumere altri incarichi/servizi, nonché di effettuare prestazioni per conto di altri committenti.</w:t>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Le prestazioni del presente servizio non danno luogo in alcun modo a vincolo di subordinazione, ma risultano inquadrabili nello schema di cui all’art. 2229 e segg. del C.C.</w:t>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sz w:val="22"/>
          <w:szCs w:val="22"/>
        </w:rPr>
      </w:pPr>
      <w:r>
        <w:rPr>
          <w:sz w:val="22"/>
          <w:szCs w:val="22"/>
        </w:rPr>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sz w:val="22"/>
          <w:szCs w:val="22"/>
        </w:rPr>
      </w:pPr>
      <w:r>
        <w:rPr>
          <w:sz w:val="22"/>
          <w:szCs w:val="22"/>
        </w:rPr>
      </w:r>
    </w:p>
    <w:p>
      <w:pPr>
        <w:pStyle w:val="Corpodeltesto"/>
        <w:tabs>
          <w:tab w:val="clear" w:pos="288"/>
          <w:tab w:val="clear" w:pos="1008"/>
          <w:tab w:val="left" w:pos="540"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b/>
          <w:bCs/>
          <w:sz w:val="22"/>
          <w:szCs w:val="22"/>
          <w:u w:val="single" w:color="000000"/>
          <w:lang w:val="it-IT"/>
        </w:rPr>
        <w:t>ART. 5 COMPENSO PROFESSIONALE</w:t>
      </w:r>
    </w:p>
    <w:p>
      <w:pPr>
        <w:pStyle w:val="Corpodeltesto"/>
        <w:tabs>
          <w:tab w:val="clear" w:pos="288"/>
          <w:tab w:val="left" w:pos="180"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 xml:space="preserve">Il compenso per la progettazione </w:t>
      </w:r>
      <w:r>
        <w:rPr>
          <w:outline w:val="false"/>
          <w:color w:val="000000"/>
          <w:sz w:val="22"/>
          <w:szCs w:val="22"/>
          <w:u w:val="none" w:color="000000"/>
          <w:shd w:fill="auto" w:val="clear"/>
          <w:lang w:val="it-IT"/>
          <w14:textFill>
            <w14:solidFill>
              <w14:srgbClr w14:val="000000"/>
            </w14:solidFill>
          </w14:textFill>
        </w:rPr>
        <w:t>è determinato, tenuto conto dei parametri del DM del 17/06/2016, ed in esito a specifica richiesta di offerta</w:t>
      </w:r>
      <w:r>
        <w:rPr>
          <w:sz w:val="22"/>
          <w:szCs w:val="22"/>
          <w:lang w:val="it-IT"/>
        </w:rPr>
        <w:t xml:space="preserve">, in complessivi € </w:t>
      </w:r>
      <w:r>
        <w:rPr>
          <w:sz w:val="22"/>
          <w:szCs w:val="22"/>
          <w:lang w:val="it-IT"/>
        </w:rPr>
        <w:t>10.500,00</w:t>
      </w:r>
      <w:r>
        <w:rPr>
          <w:sz w:val="22"/>
          <w:szCs w:val="22"/>
          <w:lang w:val="it-IT"/>
        </w:rPr>
        <w:t>, di cui</w:t>
      </w:r>
    </w:p>
    <w:p>
      <w:pPr>
        <w:pStyle w:val="Corpodeltesto"/>
        <w:numPr>
          <w:ilvl w:val="0"/>
          <w:numId w:val="1"/>
        </w:numPr>
        <w:spacing w:lineRule="auto" w:line="240" w:before="0" w:after="0"/>
        <w:rPr/>
      </w:pPr>
      <w:r>
        <w:rPr>
          <w:sz w:val="22"/>
          <w:szCs w:val="22"/>
          <w:lang w:val="it-IT"/>
        </w:rPr>
        <w:t xml:space="preserve">€ </w:t>
      </w:r>
      <w:r>
        <w:rPr>
          <w:sz w:val="22"/>
          <w:szCs w:val="22"/>
          <w:lang w:val="it-IT"/>
        </w:rPr>
        <w:t>8.275,54</w:t>
      </w:r>
      <w:r>
        <w:rPr>
          <w:sz w:val="22"/>
          <w:szCs w:val="22"/>
          <w:lang w:val="it-IT"/>
        </w:rPr>
        <w:t xml:space="preserve"> per competenze</w:t>
      </w:r>
    </w:p>
    <w:p>
      <w:pPr>
        <w:pStyle w:val="Corpodeltesto"/>
        <w:numPr>
          <w:ilvl w:val="0"/>
          <w:numId w:val="1"/>
        </w:numPr>
        <w:spacing w:lineRule="auto" w:line="240" w:before="0" w:after="0"/>
        <w:rPr/>
      </w:pPr>
      <w:r>
        <w:rPr>
          <w:sz w:val="22"/>
          <w:szCs w:val="22"/>
          <w:lang w:val="it-IT"/>
        </w:rPr>
        <w:t xml:space="preserve">€    </w:t>
      </w:r>
      <w:r>
        <w:rPr>
          <w:sz w:val="22"/>
          <w:szCs w:val="22"/>
          <w:lang w:val="it-IT"/>
        </w:rPr>
        <w:t>331,02</w:t>
      </w:r>
      <w:r>
        <w:rPr>
          <w:sz w:val="22"/>
          <w:szCs w:val="22"/>
          <w:lang w:val="it-IT"/>
        </w:rPr>
        <w:t xml:space="preserve"> per contributo integrativo </w:t>
      </w:r>
      <w:r>
        <w:rPr>
          <w:sz w:val="22"/>
          <w:szCs w:val="22"/>
          <w:lang w:val="it-IT"/>
        </w:rPr>
        <w:t>4</w:t>
      </w:r>
      <w:r>
        <w:rPr>
          <w:sz w:val="22"/>
          <w:szCs w:val="22"/>
          <w:lang w:val="it-IT"/>
        </w:rPr>
        <w:t>%</w:t>
      </w:r>
    </w:p>
    <w:p>
      <w:pPr>
        <w:pStyle w:val="Corpodeltesto"/>
        <w:numPr>
          <w:ilvl w:val="0"/>
          <w:numId w:val="1"/>
        </w:numPr>
        <w:spacing w:lineRule="auto" w:line="240"/>
        <w:rPr/>
      </w:pPr>
      <w:r>
        <w:rPr>
          <w:sz w:val="22"/>
          <w:szCs w:val="22"/>
          <w:lang w:val="it-IT"/>
        </w:rPr>
        <w:t xml:space="preserve">€ </w:t>
      </w:r>
      <w:r>
        <w:rPr>
          <w:sz w:val="22"/>
          <w:szCs w:val="22"/>
          <w:shd w:fill="auto" w:val="clear"/>
          <w:lang w:val="it-IT"/>
        </w:rPr>
        <w:t>1.893,44</w:t>
      </w:r>
      <w:r>
        <w:rPr>
          <w:sz w:val="22"/>
          <w:szCs w:val="22"/>
          <w:lang w:val="it-IT"/>
        </w:rPr>
        <w:t xml:space="preserve"> per IVA 22%</w:t>
      </w:r>
    </w:p>
    <w:p>
      <w:pPr>
        <w:pStyle w:val="Corpodeltesto"/>
        <w:tabs>
          <w:tab w:val="clear" w:pos="288"/>
          <w:tab w:val="left" w:pos="180"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comprensivo di ogni onere o spesa che l'affidatario dovrà sostenere per l’espletamento del servizio.</w:t>
      </w:r>
    </w:p>
    <w:p>
      <w:pPr>
        <w:pStyle w:val="Corpodeltesto"/>
        <w:tabs>
          <w:tab w:val="clear" w:pos="288"/>
          <w:tab w:val="clear" w:pos="1008"/>
          <w:tab w:val="left" w:pos="540"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 w:val="left" w:pos="7380" w:leader="none"/>
        </w:tabs>
        <w:spacing w:lineRule="auto" w:line="240"/>
        <w:rPr>
          <w:sz w:val="22"/>
          <w:szCs w:val="22"/>
        </w:rPr>
      </w:pPr>
      <w:r>
        <w:rPr>
          <w:sz w:val="22"/>
          <w:szCs w:val="22"/>
        </w:rPr>
      </w:r>
    </w:p>
    <w:p>
      <w:pPr>
        <w:pStyle w:val="Corpodeltesto"/>
        <w:tabs>
          <w:tab w:val="clear" w:pos="288"/>
          <w:tab w:val="left" w:pos="180"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sz w:val="22"/>
          <w:szCs w:val="22"/>
        </w:rPr>
      </w:pPr>
      <w:r>
        <w:rPr>
          <w:sz w:val="22"/>
          <w:szCs w:val="22"/>
        </w:rPr>
      </w:r>
    </w:p>
    <w:p>
      <w:pPr>
        <w:pStyle w:val="Corpodeltesto"/>
        <w:tabs>
          <w:tab w:val="clear" w:pos="288"/>
          <w:tab w:val="clear" w:pos="1008"/>
          <w:tab w:val="left" w:pos="540"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 w:val="left" w:pos="7380" w:leader="none"/>
        </w:tabs>
        <w:spacing w:lineRule="auto" w:line="240"/>
        <w:rPr>
          <w:sz w:val="22"/>
          <w:szCs w:val="22"/>
        </w:rPr>
      </w:pPr>
      <w:r>
        <w:rPr>
          <w:sz w:val="22"/>
          <w:szCs w:val="22"/>
        </w:rPr>
      </w:r>
    </w:p>
    <w:p>
      <w:pPr>
        <w:pStyle w:val="Titolo8"/>
        <w:tabs>
          <w:tab w:val="clear" w:pos="288"/>
          <w:tab w:val="clear" w:pos="1008"/>
          <w:tab w:val="clear" w:pos="1728"/>
          <w:tab w:val="clear" w:pos="2448"/>
          <w:tab w:val="clear" w:pos="3168"/>
          <w:tab w:val="clear" w:pos="3888"/>
          <w:tab w:val="clear" w:pos="4608"/>
          <w:tab w:val="clear" w:pos="5328"/>
          <w:tab w:val="clear" w:pos="6048"/>
          <w:tab w:val="clear" w:pos="6768"/>
        </w:tabs>
        <w:spacing w:lineRule="auto" w:line="240"/>
        <w:rPr/>
      </w:pPr>
      <w:r>
        <w:rPr>
          <w:u w:val="single" w:color="000000"/>
          <w:lang w:val="it-IT"/>
        </w:rPr>
        <w:t>ART. 6  PAGAMENTO DEI COMPENSI</w:t>
      </w:r>
    </w:p>
    <w:p>
      <w:pPr>
        <w:pStyle w:val="Corpodeltesto3"/>
        <w:widowControl w:val="false"/>
        <w:tabs>
          <w:tab w:val="clear" w:pos="1728"/>
          <w:tab w:val="clear" w:pos="2448"/>
          <w:tab w:val="clear" w:pos="3168"/>
          <w:tab w:val="clear" w:pos="3888"/>
          <w:tab w:val="clear" w:pos="4608"/>
          <w:tab w:val="clear" w:pos="5328"/>
          <w:tab w:val="clear" w:pos="6048"/>
          <w:tab w:val="clear" w:pos="6768"/>
        </w:tabs>
        <w:spacing w:lineRule="auto" w:line="240"/>
        <w:rPr/>
      </w:pPr>
      <w:r>
        <w:rPr>
          <w:lang w:val="it-IT"/>
        </w:rPr>
        <w:t>I compensi professionali saranno liquidati alla consegna degli elaborati elencati all’art. 2, previo nulla osta da parte del rup ed a seguito della trasmissione di regolare nota di pagamento/ fattura in formato elettronico, e verranno corrisposti come segue:</w:t>
      </w:r>
    </w:p>
    <w:p>
      <w:pPr>
        <w:pStyle w:val="Normal"/>
        <w:keepNext w:val="false"/>
        <w:keepLines w:val="false"/>
        <w:pageBreakBefore w:val="false"/>
        <w:widowControl/>
        <w:numPr>
          <w:ilvl w:val="0"/>
          <w:numId w:val="0"/>
        </w:numPr>
        <w:shd w:val="clear" w:color="auto" w:fill="auto"/>
        <w:suppressAutoHyphens w:val="true"/>
        <w:bidi w:val="0"/>
        <w:spacing w:lineRule="auto" w:line="240" w:beforeAutospacing="0" w:before="0" w:afterAutospacing="0" w:after="0"/>
        <w:ind w:left="360" w:right="0" w:hanging="0"/>
        <w:jc w:val="both"/>
        <w:rPr/>
      </w:pPr>
      <w:r>
        <w:rPr>
          <w:rFonts w:ascii="Arial" w:hAnsi="Arial"/>
          <w:sz w:val="22"/>
          <w:szCs w:val="22"/>
          <w:shd w:fill="auto" w:val="clear"/>
          <w:lang w:val="it-IT"/>
        </w:rPr>
        <w:t>- 30% a seguito della stipula del contratto</w:t>
      </w:r>
    </w:p>
    <w:p>
      <w:pPr>
        <w:pStyle w:val="Normal"/>
        <w:keepNext w:val="false"/>
        <w:keepLines w:val="false"/>
        <w:pageBreakBefore w:val="false"/>
        <w:widowControl/>
        <w:numPr>
          <w:ilvl w:val="0"/>
          <w:numId w:val="0"/>
        </w:numPr>
        <w:shd w:val="clear" w:color="auto" w:fill="auto"/>
        <w:suppressAutoHyphens w:val="true"/>
        <w:bidi w:val="0"/>
        <w:spacing w:lineRule="auto" w:line="240" w:beforeAutospacing="0" w:before="0" w:afterAutospacing="0" w:after="0"/>
        <w:ind w:left="360" w:right="0" w:hanging="0"/>
        <w:jc w:val="both"/>
        <w:rPr>
          <w:rFonts w:ascii="Arial" w:hAnsi="Arial"/>
          <w:sz w:val="22"/>
          <w:szCs w:val="22"/>
          <w:highlight w:val="yellow"/>
          <w:lang w:val="it-IT"/>
        </w:rPr>
      </w:pPr>
      <w:r>
        <w:rPr>
          <w:rFonts w:ascii="Arial" w:hAnsi="Arial"/>
          <w:sz w:val="22"/>
          <w:szCs w:val="22"/>
          <w:shd w:fill="auto" w:val="clear"/>
          <w:lang w:val="it-IT"/>
        </w:rPr>
        <w:t>- 60% alla consegna degli elaborati</w:t>
      </w:r>
    </w:p>
    <w:p>
      <w:pPr>
        <w:pStyle w:val="Normal"/>
        <w:keepNext w:val="false"/>
        <w:keepLines w:val="false"/>
        <w:pageBreakBefore w:val="false"/>
        <w:widowControl/>
        <w:numPr>
          <w:ilvl w:val="0"/>
          <w:numId w:val="0"/>
        </w:numPr>
        <w:shd w:val="clear" w:color="auto" w:fill="auto"/>
        <w:suppressAutoHyphens w:val="true"/>
        <w:bidi w:val="0"/>
        <w:spacing w:lineRule="auto" w:line="240" w:beforeAutospacing="0" w:before="0" w:afterAutospacing="0" w:after="0"/>
        <w:ind w:left="360" w:right="0" w:hanging="0"/>
        <w:jc w:val="both"/>
        <w:rPr>
          <w:rFonts w:ascii="Arial" w:hAnsi="Arial"/>
          <w:sz w:val="22"/>
          <w:szCs w:val="22"/>
          <w:lang w:val="it-IT"/>
        </w:rPr>
      </w:pPr>
      <w:r>
        <w:rPr>
          <w:rFonts w:ascii="Arial" w:hAnsi="Arial"/>
          <w:sz w:val="22"/>
          <w:szCs w:val="22"/>
          <w:shd w:fill="auto" w:val="clear"/>
          <w:lang w:val="it-IT"/>
        </w:rPr>
        <w:t>- 10% ad avvenuta approvazione del progetto da parte del competente organo del committente</w:t>
      </w:r>
      <w:r>
        <w:rPr>
          <w:rFonts w:ascii="Arial" w:hAnsi="Arial"/>
          <w:sz w:val="22"/>
          <w:szCs w:val="22"/>
          <w:lang w:val="it-IT"/>
        </w:rPr>
        <w:t>.</w:t>
      </w:r>
    </w:p>
    <w:p>
      <w:pPr>
        <w:pStyle w:val="Corpodeltesto"/>
        <w:spacing w:lineRule="auto" w:line="240"/>
        <w:rPr/>
      </w:pPr>
      <w:r>
        <w:rPr>
          <w:outline w:val="false"/>
          <w:color w:val="000000"/>
          <w:sz w:val="22"/>
          <w:szCs w:val="22"/>
          <w:u w:val="none" w:color="000000"/>
          <w:lang w:val="it-IT"/>
          <w14:textFill>
            <w14:solidFill>
              <w14:srgbClr w14:val="000000"/>
            </w14:solidFill>
          </w14:textFill>
        </w:rPr>
        <w:t>L'affidatario si assume gli obblighi di tracciabilità dei flussi finanziari di cui all’art. 3 della legge 136/2010, ed in caso contrario il contratto sarà ritenuto nullo. Il contratto verrà risolto di diritto se le transazioni verranno eseguite in difformità a quanto stabilito dalla legge 136/2010. Il modello di tracciabilità dei flussi finanziari trasmesso dall’affidatario è da considerare parte integrante del presente contratto.</w:t>
      </w:r>
    </w:p>
    <w:p>
      <w:pPr>
        <w:pStyle w:val="Corpodeltesto"/>
        <w:spacing w:lineRule="auto" w:line="240"/>
        <w:rPr>
          <w:sz w:val="22"/>
          <w:szCs w:val="22"/>
        </w:rPr>
      </w:pPr>
      <w:r>
        <w:rPr>
          <w:sz w:val="22"/>
          <w:szCs w:val="22"/>
        </w:rPr>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sz w:val="22"/>
          <w:szCs w:val="22"/>
        </w:rPr>
      </w:pPr>
      <w:r>
        <w:rPr>
          <w:sz w:val="22"/>
          <w:szCs w:val="22"/>
        </w:rPr>
      </w:r>
    </w:p>
    <w:p>
      <w:pPr>
        <w:pStyle w:val="Corpodeltesto"/>
        <w:spacing w:lineRule="auto" w:line="240"/>
        <w:rPr/>
      </w:pPr>
      <w:r>
        <w:rPr>
          <w:b/>
          <w:bCs/>
          <w:sz w:val="22"/>
          <w:szCs w:val="22"/>
          <w:u w:val="single" w:color="000000"/>
          <w:lang w:val="it-IT"/>
        </w:rPr>
        <w:t>ART. 7  PROPRIETA’ DEGLI ELABORATI</w:t>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Gli elaborati consegnati, dopo che è stato riconosciuto il relativo compenso al professionista, resteranno di proprietà del committente il quale può, a suo insindacabile giudizio, darne o meno esecuzione.</w:t>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I diritti d’autore restano riservati all'affidatario, conformemente a quanto stabilito all’art. 11 della legge 143/1949.</w:t>
      </w:r>
    </w:p>
    <w:p>
      <w:pPr>
        <w:pStyle w:val="Corpodeltesto"/>
        <w:tabs>
          <w:tab w:val="clear" w:pos="288"/>
          <w:tab w:val="clear" w:pos="1008"/>
          <w:tab w:val="clear" w:pos="1728"/>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L’uso degli elaborati da parte del professionista affidatario per scopi diversi dalle finalità del presente contratto, dovrà essere preventivamente richiesto ed autorizzato dal committente.</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pPr>
      <w:r>
        <w:rPr>
          <w:b/>
          <w:bCs/>
          <w:sz w:val="22"/>
          <w:szCs w:val="22"/>
          <w:u w:val="single" w:color="000000"/>
          <w:lang w:val="it-IT"/>
        </w:rPr>
        <w:t>ART. 8  INADEMPIENZA, SOSPENSIONE, RISOLUZIONE, E RECESSO CONTRATTUALI</w:t>
      </w:r>
    </w:p>
    <w:p>
      <w:pPr>
        <w:pStyle w:val="Corpodeltesto"/>
        <w:spacing w:lineRule="auto" w:line="240"/>
        <w:rPr/>
      </w:pPr>
      <w:r>
        <w:rPr>
          <w:sz w:val="22"/>
          <w:szCs w:val="22"/>
          <w:lang w:val="it-IT"/>
        </w:rPr>
        <w:t>Nel caso di inadempienze o gravi inesattezze, il committente può intimare all’affidatario del servizio di adempiere a quanto necessario per il rispetto delle specifiche norme contrattuali entro il termine perentorio di 15 giorni, a mezzo raccomandata A/R. Nel caso l’affidatario non dovesse provvedere, il committente si riserva la facoltà, previa notifica, di procedere alla risoluzione immediata del contratto, fatti salvi gli ulteriori danni che dovessero derivare al committente, senza che l’affidatario inadempiente possa pretendere compensi o indennizzi di sorta sia per onorari che per rimborsi spese.</w:t>
      </w:r>
    </w:p>
    <w:p>
      <w:pPr>
        <w:pStyle w:val="Corpodeltesto"/>
        <w:spacing w:lineRule="auto" w:line="240"/>
        <w:rPr/>
      </w:pPr>
      <w:r>
        <w:rPr>
          <w:sz w:val="22"/>
          <w:szCs w:val="22"/>
          <w:lang w:val="it-IT"/>
        </w:rPr>
        <w:t xml:space="preserve">In caso di ritardi di consegna rispetto ai tempi fissati all’art. 5 e per cause ascrivibili all’affidatario, si applicherà una penale per ogni giorno di ritardo </w:t>
      </w:r>
      <w:r>
        <w:rPr>
          <w:sz w:val="22"/>
          <w:szCs w:val="22"/>
          <w:shd w:fill="auto" w:val="clear"/>
          <w:lang w:val="it-IT"/>
        </w:rPr>
        <w:t>dell’uno per mille</w:t>
      </w:r>
      <w:r>
        <w:rPr>
          <w:sz w:val="22"/>
          <w:szCs w:val="22"/>
          <w:lang w:val="it-IT"/>
        </w:rPr>
        <w:t>.</w:t>
      </w:r>
    </w:p>
    <w:p>
      <w:pPr>
        <w:pStyle w:val="Corpodeltesto"/>
        <w:spacing w:lineRule="auto" w:line="240"/>
        <w:rPr/>
      </w:pPr>
      <w:r>
        <w:rPr>
          <w:sz w:val="22"/>
          <w:szCs w:val="22"/>
          <w:lang w:val="it-IT"/>
        </w:rPr>
        <w:t xml:space="preserve">Nel caso in cui il ritardo complessivamente cumulato superi </w:t>
      </w:r>
      <w:r>
        <w:rPr>
          <w:sz w:val="22"/>
          <w:szCs w:val="22"/>
          <w:shd w:fill="auto" w:val="clear"/>
          <w:lang w:val="it-IT"/>
        </w:rPr>
        <w:t>i 30</w:t>
      </w:r>
      <w:r>
        <w:rPr>
          <w:sz w:val="22"/>
          <w:szCs w:val="22"/>
          <w:lang w:val="it-IT"/>
        </w:rPr>
        <w:t xml:space="preserve"> giorni naturali e consecutivi il committente si riserva la facoltà di risolvere il contratto con eventuale azione di danno.</w:t>
      </w:r>
    </w:p>
    <w:p>
      <w:pPr>
        <w:pStyle w:val="Corpodeltesto"/>
        <w:spacing w:lineRule="auto" w:line="240"/>
        <w:rPr/>
      </w:pPr>
      <w:r>
        <w:rPr>
          <w:sz w:val="22"/>
          <w:szCs w:val="22"/>
          <w:lang w:val="it-IT"/>
        </w:rPr>
        <w:t>È facoltà del committente (art. 2227 del codice civile) recedere unilateralmente dal contratto in qualunque momento, anche se la prestazione è stata iniziata, fatto salvo l’obbligo di corrispondere all’affidatario un indennizzo relativo alle spese sostenute, ai lavori eseguiti e al mancato guadagno.</w:t>
      </w:r>
    </w:p>
    <w:p>
      <w:pPr>
        <w:pStyle w:val="Corpodeltesto"/>
        <w:spacing w:lineRule="auto" w:line="240"/>
        <w:rPr/>
      </w:pPr>
      <w:r>
        <w:rPr>
          <w:sz w:val="22"/>
          <w:szCs w:val="22"/>
          <w:lang w:val="it-IT"/>
        </w:rPr>
        <w:t>Per la definizione delle circostanze, delle condizioni e delle modalità inerenti eventuali sospensioni, risoluzioni o recessi contrattuali, sono applicabili gli artt. 107, 108 e 109 del Dlgs 50/2016.</w:t>
      </w:r>
    </w:p>
    <w:p>
      <w:pPr>
        <w:pStyle w:val="Corpodeltesto"/>
        <w:spacing w:lineRule="auto" w:line="240"/>
        <w:rPr/>
      </w:pPr>
      <w:r>
        <w:rPr>
          <w:sz w:val="22"/>
          <w:szCs w:val="22"/>
          <w:lang w:val="it-IT"/>
        </w:rPr>
        <w:t>L'affidatario può recedere dal contratto per giusta causa (art. 2237 cc).</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pPr>
      <w:r>
        <w:rPr>
          <w:b/>
          <w:bCs/>
          <w:sz w:val="22"/>
          <w:szCs w:val="22"/>
          <w:u w:val="single" w:color="000000"/>
          <w:lang w:val="it-IT"/>
        </w:rPr>
        <w:t>ART. 9  INCOMPATIBILITA’</w:t>
      </w:r>
    </w:p>
    <w:p>
      <w:pPr>
        <w:pStyle w:val="Corpodeltesto"/>
        <w:spacing w:lineRule="auto" w:line="240"/>
        <w:rPr/>
      </w:pPr>
      <w:r>
        <w:rPr>
          <w:sz w:val="22"/>
          <w:szCs w:val="22"/>
          <w:lang w:val="it-IT"/>
        </w:rPr>
        <w:t>L'affidatario (art. 24, comma 7, D.Lgs. 50/2016) non può partecipare agli appalti o alle concessioni di lavori pubblici, nonché agli eventuali subappalti o cottimi, per i quali abbia svolto l’attività di progettazione. Ai medesimi appalti, concessioni di lavori pubblici, subappalti e cottimi non può partecipare un soggetto controllato, controllante o collegato all’affidatario del servizio di progettazione. Le situazioni di controllo e di collegamento si determinano in riferimento a quanto previsto dall’art. 2359 del codice civile. I suddetti divieti si estendono ai dipendenti dell'affidatario, ai suoi collaboratori nello svolgimento del servizio e ai loro dipendenti, nonché agli affidatari di attività di supporto alla progettazione e ai loro dipendenti.</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pPr>
      <w:r>
        <w:rPr>
          <w:b/>
          <w:bCs/>
          <w:sz w:val="22"/>
          <w:szCs w:val="22"/>
          <w:u w:val="single" w:color="000000"/>
          <w:lang w:val="it-IT"/>
        </w:rPr>
        <w:t>ART. 10  STIPULA E REGISTRAZIONE DEL CONTRATTO</w:t>
      </w:r>
    </w:p>
    <w:p>
      <w:pPr>
        <w:pStyle w:val="Corpodeltesto"/>
        <w:spacing w:lineRule="auto" w:line="240"/>
        <w:rPr/>
      </w:pPr>
      <w:r>
        <w:rPr>
          <w:sz w:val="22"/>
          <w:szCs w:val="22"/>
          <w:lang w:val="it-IT"/>
        </w:rPr>
        <w:t>La stipula del contratto, ai sensi dell'art. 32 comma 14 del Dlgs 50/2016, avverrà mediante corrispondenza secondo l'uso del commercio. La registrazione del contratto avverrà solo in caso d’uso e su richiesta di almeno una delle parti; le spese di registrazione saranno a carico della parte che la richiede.</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pPr>
      <w:r>
        <w:rPr>
          <w:b/>
          <w:bCs/>
          <w:sz w:val="22"/>
          <w:szCs w:val="22"/>
          <w:u w:val="single" w:color="000000"/>
          <w:lang w:val="it-IT"/>
        </w:rPr>
        <w:t>ART. 11  PRIVACY</w:t>
      </w:r>
    </w:p>
    <w:p>
      <w:pPr>
        <w:pStyle w:val="Corpodeltesto3"/>
        <w:rPr/>
      </w:pPr>
      <w:r>
        <w:rPr>
          <w:lang w:val="it-IT"/>
        </w:rPr>
        <w:t>1. L’affidatario ha l’obbligo di mantenere riservati i dati e le informazioni, ivi comprese quelle che transitano per le apparecchiature di elaborazione dati, di cui venga in possesso e comunque a conoscenza, anche tramite l'esecuzione del contratto, di non divulgarli in alcun modo e in qualsiasi forma, di non farne oggetto di utilizzazione a qualsiasi titolo per scopi diversi da quelli strettamente necessari all’esecuzione del Contratto e di non farne oggetto di comunicazione o trasmissione senza l'espressa autorizzazione del Committente.</w:t>
      </w:r>
    </w:p>
    <w:p>
      <w:pPr>
        <w:pStyle w:val="Corpodeltesto3"/>
        <w:rPr/>
      </w:pPr>
      <w:r>
        <w:rPr>
          <w:lang w:val="it-IT"/>
        </w:rPr>
        <w:t>2. L’obbligo di cui al precedente comma sussiste, altresì, relativamente a tutto il materiale originario o predisposto in esecuzione del Contratto.</w:t>
      </w:r>
    </w:p>
    <w:p>
      <w:pPr>
        <w:pStyle w:val="Corpodeltesto3"/>
        <w:rPr/>
      </w:pPr>
      <w:r>
        <w:rPr>
          <w:lang w:val="it-IT"/>
        </w:rPr>
        <w:t>3 L’obbligo di cui ai commi 1 e 2 non concerne i dati che siano o divengano di pubblico dominio.</w:t>
      </w:r>
    </w:p>
    <w:p>
      <w:pPr>
        <w:pStyle w:val="Corpodeltesto3"/>
        <w:rPr/>
      </w:pPr>
      <w:r>
        <w:rPr>
          <w:lang w:val="it-IT"/>
        </w:rPr>
        <w:t>4 L’affidatario è responsabile per l’esatta osservanza da parte dei propri dipendenti, consulenti e collaboratori, nonché di subappaltatori e dei dipendenti, consulenti e collaboratori di questi ultimi, degli obblighi di segretezza di cui ai punti 1, 2 e 3 e risponde nei confronti del Committente per eventuali violazioni dell’obbligo di riservatezza commesse dai suddetti soggetti.</w:t>
      </w:r>
    </w:p>
    <w:p>
      <w:pPr>
        <w:pStyle w:val="Corpodeltesto3"/>
        <w:rPr/>
      </w:pPr>
      <w:r>
        <w:rPr>
          <w:lang w:val="it-IT"/>
        </w:rPr>
        <w:t>5 L’affidatario può utilizzare servizi di cloud pubblici ove memorizzare i dati e le informazioni trattate nell'espletamento dell'incarico affidato, solo previa autorizzazione del Committente.</w:t>
      </w:r>
    </w:p>
    <w:p>
      <w:pPr>
        <w:pStyle w:val="Corpodeltesto3"/>
        <w:rPr/>
      </w:pPr>
      <w:r>
        <w:rPr>
          <w:lang w:val="it-IT"/>
        </w:rPr>
        <w:t>6 In caso di inosservanza degli obblighi descritti nei punti da 1 a 5, il Committente ha facoltà di dichiarare risolto di diritto il Contratto, fermo restando che l’affidatario sarà tenuto a risarcire tutti i danni che ne dovessero derivare.</w:t>
      </w:r>
    </w:p>
    <w:p>
      <w:pPr>
        <w:pStyle w:val="Corpodeltesto3"/>
        <w:rPr/>
      </w:pPr>
      <w:r>
        <w:rPr>
          <w:lang w:val="it-IT"/>
        </w:rPr>
        <w:t>7 L’affidatario potrà citare i termini essenziali del Contratto nei casi in cui fosse condizione necessaria per la partecipazione dell’affidatario stesso a gare e appalti, previa comunicazione al Committente delle modalità e dei contenuti di detta citazione.</w:t>
      </w:r>
    </w:p>
    <w:p>
      <w:pPr>
        <w:pStyle w:val="Corpodeltesto3"/>
        <w:rPr/>
      </w:pPr>
      <w:r>
        <w:rPr>
          <w:lang w:val="it-IT"/>
        </w:rPr>
        <w:t>8 Sarà possibile ogni operazione di auditing da parte del Committente attinente le procedure adottate dall’affidatario in materia di riservatezza e degli altri obblighi assunti dal presente contratto.</w:t>
      </w:r>
    </w:p>
    <w:p>
      <w:pPr>
        <w:pStyle w:val="Corpodeltesto3"/>
        <w:rPr/>
      </w:pPr>
      <w:r>
        <w:rPr>
          <w:lang w:val="it-IT"/>
        </w:rPr>
        <w:t>9 L’affidatario non potrà conservare copia di dati e programmi del Committente, né alcuna documentazione inerente ad essi dopo la scadenza del Contratto e dovrà, su richiesta, ritrasmetterli al Committente.</w:t>
      </w:r>
    </w:p>
    <w:p>
      <w:pPr>
        <w:pStyle w:val="Corpodeltesto3"/>
        <w:rPr/>
      </w:pPr>
      <w:r>
        <w:rPr>
          <w:lang w:val="it-IT"/>
        </w:rPr>
        <w:t>10 Le parti prestano il proprio reciproco consenso al trattamento dei propri dati personali all'esclusivo fine della gestione amministrativa e contabile del presente contratto con facoltà, solo ove necessario per tali adempimenti, di fornirli anche a terzi e comunque in ottemperanza degli obblighi previsti dal Regolamento UE 2016/679.</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pPr>
      <w:r>
        <w:rPr>
          <w:b/>
          <w:bCs/>
          <w:sz w:val="22"/>
          <w:szCs w:val="22"/>
          <w:u w:val="single" w:color="000000"/>
          <w:lang w:val="it-IT"/>
        </w:rPr>
        <w:t>ART. 12  ACCETTAZIONE ED EFFETTI DEL CONTRATTO DI SERVIZIO</w:t>
      </w:r>
    </w:p>
    <w:p>
      <w:pPr>
        <w:pStyle w:val="Corpodeltesto3"/>
        <w:tabs>
          <w:tab w:val="left" w:pos="28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lang w:val="it-IT"/>
        </w:rPr>
        <w:t>L'affidatario, accettando il presente servizio, dichiara sotto la propria responsabilità di:</w:t>
      </w:r>
    </w:p>
    <w:p>
      <w:pPr>
        <w:pStyle w:val="Corpodeltesto3"/>
        <w:numPr>
          <w:ilvl w:val="0"/>
          <w:numId w:val="2"/>
        </w:numPr>
        <w:spacing w:lineRule="auto" w:line="240" w:before="0" w:after="0"/>
        <w:rPr>
          <w:lang w:val="it-IT"/>
        </w:rPr>
      </w:pPr>
      <w:r>
        <w:rPr>
          <w:lang w:val="it-IT"/>
        </w:rPr>
        <w:t>non trovarsi in alcuna condizione che costituisce motivo di esclusione ai sensi dell'art. 80 del Dlgs 50/2016;</w:t>
      </w:r>
    </w:p>
    <w:p>
      <w:pPr>
        <w:pStyle w:val="Corpodeltesto3"/>
        <w:numPr>
          <w:ilvl w:val="0"/>
          <w:numId w:val="2"/>
        </w:numPr>
        <w:spacing w:lineRule="auto" w:line="240" w:before="0" w:after="0"/>
        <w:rPr>
          <w:lang w:val="it-IT"/>
        </w:rPr>
      </w:pPr>
      <w:r>
        <w:rPr>
          <w:lang w:val="it-IT"/>
        </w:rPr>
        <w:t>non trovarsi nelle condizioni di cui all'art. 53 comma 16ter del Dlgs 165/2001 e all'art. 21 del Dlgs 39/2013;</w:t>
      </w:r>
    </w:p>
    <w:p>
      <w:pPr>
        <w:pStyle w:val="Corpodeltesto3"/>
        <w:numPr>
          <w:ilvl w:val="0"/>
          <w:numId w:val="2"/>
        </w:numPr>
        <w:spacing w:lineRule="auto" w:line="240" w:before="0" w:after="0"/>
        <w:rPr>
          <w:lang w:val="it-IT"/>
        </w:rPr>
      </w:pPr>
      <w:r>
        <w:rPr>
          <w:lang w:val="it-IT"/>
        </w:rPr>
        <w:t>non trovarsi in alcuna delle condizioni di incompatibilità elencate all'art. 102 comma 7 del Dlgs 50/2016;</w:t>
      </w:r>
    </w:p>
    <w:p>
      <w:pPr>
        <w:pStyle w:val="Corpodeltesto3"/>
        <w:numPr>
          <w:ilvl w:val="0"/>
          <w:numId w:val="2"/>
        </w:numPr>
        <w:spacing w:lineRule="auto" w:line="240" w:before="0" w:after="0"/>
        <w:rPr>
          <w:lang w:val="it-IT"/>
        </w:rPr>
      </w:pPr>
      <w:r>
        <w:rPr>
          <w:lang w:val="it-IT"/>
        </w:rPr>
        <w:t>ritenere il compenso di cui all'art. 5 congruo all'impegno ed al contenuto professionale delle prestazioni richieste.</w:t>
      </w:r>
    </w:p>
    <w:p>
      <w:pPr>
        <w:pStyle w:val="Corpodeltesto3"/>
        <w:numPr>
          <w:ilvl w:val="0"/>
          <w:numId w:val="2"/>
        </w:numPr>
        <w:spacing w:lineRule="auto" w:line="240" w:before="0" w:after="0"/>
        <w:rPr>
          <w:lang w:val="it-IT"/>
        </w:rPr>
      </w:pPr>
      <w:r>
        <w:rPr>
          <w:lang w:val="it-IT"/>
        </w:rPr>
        <w:t>non trovarsi in condizioni di generali incompatibilità per l’espletamento del mandato professionale, tali da arrecare danno al committente o inficiare i principi di economicità, efficacia, tempestività, correttezza e trasparenza dell'azione amministrativa;</w:t>
      </w:r>
    </w:p>
    <w:p>
      <w:pPr>
        <w:pStyle w:val="Corpodeltesto3"/>
        <w:numPr>
          <w:ilvl w:val="0"/>
          <w:numId w:val="2"/>
        </w:numPr>
        <w:spacing w:lineRule="auto" w:line="240" w:before="0" w:after="0"/>
        <w:rPr>
          <w:lang w:val="it-IT"/>
        </w:rPr>
      </w:pPr>
      <w:r>
        <w:rPr>
          <w:lang w:val="it-IT"/>
        </w:rPr>
        <w:t>possedere i requisiti di idoneità professionale, le capacità economica e finanziaria, le capacità tecniche e professionali necessari per il regolare svolgimento delle attività oggetto di conferimento, di cui all'art. 83 del Dlgs 50/2016;</w:t>
      </w:r>
    </w:p>
    <w:p>
      <w:pPr>
        <w:pStyle w:val="Corpodeltesto3"/>
        <w:numPr>
          <w:ilvl w:val="0"/>
          <w:numId w:val="2"/>
        </w:numPr>
        <w:spacing w:lineRule="auto" w:line="240"/>
        <w:rPr>
          <w:lang w:val="it-IT"/>
        </w:rPr>
      </w:pPr>
      <w:r>
        <w:rPr>
          <w:outline w:val="false"/>
          <w:color w:val="000000"/>
          <w:u w:val="none" w:color="000000"/>
          <w:lang w:val="it-IT"/>
          <w14:textFill>
            <w14:solidFill>
              <w14:srgbClr w14:val="000000"/>
            </w14:solidFill>
          </w14:textFill>
        </w:rPr>
        <w:t>aver stipulato adeguata polizza assicurativa a copertura dei rischi professionali, prevista all’art. 24 comma 4 del Dlgs 50/2016.</w:t>
      </w:r>
    </w:p>
    <w:p>
      <w:pPr>
        <w:pStyle w:val="Corpodeltesto3"/>
        <w:tabs>
          <w:tab w:val="left" w:pos="28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r>
    </w:p>
    <w:p>
      <w:pPr>
        <w:pStyle w:val="Corpodeltesto"/>
        <w:spacing w:lineRule="auto" w:line="240"/>
        <w:rPr>
          <w:sz w:val="22"/>
          <w:szCs w:val="22"/>
        </w:rPr>
      </w:pPr>
      <w:r>
        <w:rPr>
          <w:sz w:val="22"/>
          <w:szCs w:val="22"/>
        </w:rPr>
      </w:r>
    </w:p>
    <w:p>
      <w:pPr>
        <w:pStyle w:val="Corpodeltesto"/>
        <w:spacing w:lineRule="auto" w:line="240"/>
        <w:rPr/>
      </w:pPr>
      <w:r>
        <w:rPr>
          <w:b/>
          <w:bCs/>
          <w:sz w:val="22"/>
          <w:szCs w:val="22"/>
          <w:u w:val="single" w:color="000000"/>
          <w:lang w:val="it-IT"/>
        </w:rPr>
        <w:t>ART. 13  CONTROVERSIE</w:t>
      </w:r>
    </w:p>
    <w:p>
      <w:pPr>
        <w:pStyle w:val="Corpodeltesto"/>
        <w:tabs>
          <w:tab w:val="clear" w:pos="288"/>
          <w:tab w:val="clear" w:pos="1008"/>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40"/>
        <w:rPr/>
      </w:pPr>
      <w:r>
        <w:rPr>
          <w:sz w:val="22"/>
          <w:szCs w:val="22"/>
          <w:lang w:val="it-IT"/>
        </w:rPr>
        <w:t>Tutte le controversie che dovessero insorgere relativamente all’interpretazione del presente contratto non definibili in via transattiva, saranno deferite al giudice ordinario. Foro competente è il Tribunale di Reggio Emilia.</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pPr>
      <w:r>
        <w:rPr>
          <w:sz w:val="22"/>
          <w:szCs w:val="22"/>
          <w:lang w:val="it-IT"/>
        </w:rPr>
        <w:t xml:space="preserve">Per il Comune di Reggio Emilia </w:t>
      </w:r>
    </w:p>
    <w:p>
      <w:pPr>
        <w:pStyle w:val="Corpodeltesto"/>
        <w:spacing w:lineRule="auto" w:line="240"/>
        <w:rPr/>
      </w:pPr>
      <w:r>
        <w:rPr>
          <w:sz w:val="22"/>
          <w:szCs w:val="22"/>
          <w:lang w:val="it-IT"/>
        </w:rPr>
        <w:t xml:space="preserve">             </w:t>
      </w:r>
      <w:r>
        <w:rPr>
          <w:sz w:val="22"/>
          <w:szCs w:val="22"/>
          <w:lang w:val="it-IT"/>
        </w:rPr>
        <w:t>Il Dirigente</w:t>
      </w:r>
    </w:p>
    <w:p>
      <w:pPr>
        <w:pStyle w:val="Corpodeltesto"/>
        <w:spacing w:lineRule="auto" w:line="240"/>
        <w:rPr>
          <w:sz w:val="22"/>
          <w:szCs w:val="22"/>
        </w:rPr>
      </w:pPr>
      <w:r>
        <w:rPr>
          <w:sz w:val="22"/>
          <w:szCs w:val="22"/>
        </w:rPr>
      </w:r>
    </w:p>
    <w:p>
      <w:pPr>
        <w:pStyle w:val="Corpodeltesto"/>
        <w:spacing w:lineRule="auto" w:line="240"/>
        <w:rPr/>
      </w:pPr>
      <w:r>
        <w:rPr>
          <w:sz w:val="22"/>
          <w:szCs w:val="22"/>
          <w:lang w:val="it-IT"/>
        </w:rPr>
        <w:t>_________________________</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pPr>
      <w:r>
        <w:rPr>
          <w:sz w:val="22"/>
          <w:szCs w:val="22"/>
          <w:lang w:val="it-IT"/>
        </w:rPr>
        <w:t>Letto, approvato e sottoscritto in segno d’accettazione</w:t>
      </w:r>
    </w:p>
    <w:p>
      <w:pPr>
        <w:pStyle w:val="Corpodeltesto"/>
        <w:spacing w:lineRule="auto" w:line="240"/>
        <w:rPr>
          <w:sz w:val="22"/>
          <w:szCs w:val="22"/>
        </w:rPr>
      </w:pPr>
      <w:r>
        <w:rPr>
          <w:sz w:val="22"/>
          <w:szCs w:val="22"/>
        </w:rPr>
      </w:r>
    </w:p>
    <w:p>
      <w:pPr>
        <w:pStyle w:val="Corpodeltesto"/>
        <w:spacing w:lineRule="auto" w:line="240"/>
        <w:rPr/>
      </w:pPr>
      <w:r>
        <w:rPr>
          <w:sz w:val="22"/>
          <w:szCs w:val="22"/>
          <w:lang w:val="it-IT"/>
        </w:rPr>
        <w:t>Reggio Emilia, lì ___________</w:t>
        <w:tab/>
        <w:tab/>
        <w:tab/>
        <w:tab/>
        <w:tab/>
        <w:tab/>
        <w:t xml:space="preserve">     IL TECNICO</w:t>
      </w:r>
    </w:p>
    <w:p>
      <w:pPr>
        <w:pStyle w:val="Corpodeltesto"/>
        <w:spacing w:lineRule="auto" w:line="240"/>
        <w:rPr/>
      </w:pPr>
      <w:r>
        <w:rPr>
          <w:sz w:val="22"/>
          <w:szCs w:val="22"/>
        </w:rPr>
        <w:tab/>
        <w:tab/>
        <w:tab/>
        <w:tab/>
        <w:tab/>
        <w:tab/>
        <w:tab/>
        <w:tab/>
        <w:tab/>
        <w:tab/>
      </w:r>
    </w:p>
    <w:p>
      <w:pPr>
        <w:pStyle w:val="Corpodeltesto"/>
        <w:spacing w:lineRule="auto" w:line="240"/>
        <w:rPr/>
      </w:pPr>
      <w:r>
        <w:rPr>
          <w:sz w:val="22"/>
          <w:szCs w:val="22"/>
        </w:rPr>
        <w:tab/>
        <w:tab/>
        <w:tab/>
        <w:tab/>
        <w:tab/>
        <w:tab/>
        <w:tab/>
        <w:tab/>
        <w:tab/>
        <w:tab/>
        <w:t>_______________</w:t>
      </w:r>
    </w:p>
    <w:p>
      <w:pPr>
        <w:pStyle w:val="Corpodeltesto"/>
        <w:spacing w:lineRule="auto" w:line="240"/>
        <w:rPr>
          <w:sz w:val="22"/>
          <w:szCs w:val="22"/>
        </w:rPr>
      </w:pPr>
      <w:r>
        <w:rPr>
          <w:sz w:val="22"/>
          <w:szCs w:val="22"/>
        </w:rPr>
      </w:r>
    </w:p>
    <w:p>
      <w:pPr>
        <w:pStyle w:val="Corpodeltesto"/>
        <w:spacing w:lineRule="auto" w:line="240"/>
        <w:rPr>
          <w:sz w:val="22"/>
          <w:szCs w:val="22"/>
        </w:rPr>
      </w:pPr>
      <w:r>
        <w:rPr>
          <w:sz w:val="22"/>
          <w:szCs w:val="22"/>
        </w:rPr>
      </w:r>
    </w:p>
    <w:p>
      <w:pPr>
        <w:pStyle w:val="Corpodeltesto"/>
        <w:spacing w:lineRule="auto" w:line="240"/>
        <w:rPr>
          <w:sz w:val="22"/>
          <w:szCs w:val="22"/>
          <w:highlight w:val="darkCyan"/>
        </w:rPr>
      </w:pPr>
      <w:r>
        <w:rPr>
          <w:sz w:val="22"/>
          <w:szCs w:val="22"/>
          <w:highlight w:val="darkCyan"/>
        </w:rPr>
      </w:r>
    </w:p>
    <w:p>
      <w:pPr>
        <w:pStyle w:val="Corpodeltesto"/>
        <w:spacing w:lineRule="auto" w:line="240"/>
        <w:rPr>
          <w:sz w:val="22"/>
          <w:szCs w:val="22"/>
          <w:highlight w:val="darkCyan"/>
        </w:rPr>
      </w:pPr>
      <w:r>
        <w:rPr>
          <w:sz w:val="22"/>
          <w:szCs w:val="22"/>
          <w:highlight w:val="darkCyan"/>
        </w:rPr>
      </w:r>
      <w:r>
        <w:br w:type="page"/>
      </w:r>
    </w:p>
    <w:p>
      <w:pPr>
        <w:pStyle w:val="Normal"/>
        <w:rPr>
          <w:rFonts w:ascii="Arial" w:hAnsi="Arial"/>
          <w:sz w:val="18"/>
          <w:szCs w:val="18"/>
        </w:rPr>
      </w:pPr>
      <w:r>
        <w:rPr>
          <w:rFonts w:ascii="Arial" w:hAnsi="Arial"/>
          <w:b/>
          <w:bCs/>
          <w:sz w:val="18"/>
          <w:szCs w:val="18"/>
          <w:lang w:val="it-IT"/>
        </w:rPr>
        <w:t xml:space="preserve">INFORMATIVA PER IL TRATTAMENTO DEI DATI PERSONALI AI SENSI DELL’ART 13 DEL REGOLAMENTO EUROPEO N. 679/2016 </w:t>
      </w:r>
    </w:p>
    <w:p>
      <w:pPr>
        <w:pStyle w:val="Normal"/>
        <w:jc w:val="both"/>
        <w:rPr>
          <w:rFonts w:ascii="Arial" w:hAnsi="Arial" w:eastAsia="Arial" w:cs="Arial"/>
          <w:sz w:val="18"/>
          <w:szCs w:val="18"/>
        </w:rPr>
      </w:pPr>
      <w:r>
        <w:rPr>
          <w:rFonts w:eastAsia="Arial" w:cs="Arial" w:ascii="Arial" w:hAnsi="Arial"/>
          <w:sz w:val="18"/>
          <w:szCs w:val="18"/>
        </w:rPr>
      </w:r>
    </w:p>
    <w:p>
      <w:pPr>
        <w:pStyle w:val="Normal"/>
        <w:jc w:val="both"/>
        <w:rPr>
          <w:rFonts w:ascii="Arial" w:hAnsi="Arial"/>
          <w:sz w:val="18"/>
          <w:szCs w:val="18"/>
        </w:rPr>
      </w:pPr>
      <w:r>
        <w:rPr>
          <w:rFonts w:ascii="Arial" w:hAnsi="Arial"/>
          <w:b/>
          <w:bCs/>
          <w:sz w:val="18"/>
          <w:szCs w:val="18"/>
          <w:lang w:val="it-IT"/>
        </w:rPr>
        <w:t>1. Premessa</w:t>
      </w:r>
    </w:p>
    <w:p>
      <w:pPr>
        <w:pStyle w:val="Normal"/>
        <w:jc w:val="both"/>
        <w:rPr>
          <w:rFonts w:ascii="Arial" w:hAnsi="Arial"/>
          <w:sz w:val="18"/>
          <w:szCs w:val="18"/>
        </w:rPr>
      </w:pPr>
      <w:r>
        <w:rPr>
          <w:rFonts w:ascii="Arial" w:hAnsi="Arial"/>
          <w:sz w:val="18"/>
          <w:szCs w:val="18"/>
          <w:lang w:val="it-IT"/>
        </w:rPr>
        <w:t xml:space="preserve">Ai sensi dell’art. 13 del Regolamento europeo n. 679/2016, Il Comune di Reggio Emilia, in qualità di “Titolare” del trattamento, è tenuto a fornirle informazioni in merito all’utilizzo dei suoi dati personali. </w:t>
      </w:r>
    </w:p>
    <w:p>
      <w:pPr>
        <w:pStyle w:val="Normal"/>
        <w:jc w:val="both"/>
        <w:rPr>
          <w:rFonts w:ascii="Arial" w:hAnsi="Arial"/>
          <w:sz w:val="18"/>
          <w:szCs w:val="18"/>
        </w:rPr>
      </w:pPr>
      <w:r>
        <w:rPr>
          <w:rFonts w:ascii="Arial" w:hAnsi="Arial"/>
          <w:b/>
          <w:bCs/>
          <w:sz w:val="18"/>
          <w:szCs w:val="18"/>
          <w:lang w:val="it-IT"/>
        </w:rPr>
        <w:t>2. Titolare del trattamento dei dati personali</w:t>
      </w:r>
    </w:p>
    <w:p>
      <w:pPr>
        <w:pStyle w:val="Normal"/>
        <w:jc w:val="both"/>
        <w:rPr>
          <w:rFonts w:ascii="Arial" w:hAnsi="Arial"/>
          <w:sz w:val="18"/>
          <w:szCs w:val="18"/>
        </w:rPr>
      </w:pPr>
      <w:r>
        <w:rPr>
          <w:rFonts w:ascii="Arial" w:hAnsi="Arial"/>
          <w:sz w:val="18"/>
          <w:szCs w:val="18"/>
          <w:lang w:val="it-IT"/>
        </w:rPr>
        <w:t>Il Titolare del trattamento dei dati personali di cui alla presente Informativa è il Comune di Reggio Emilia, con sede a Reggio Emilia, Piazza Prampolini n°1, cap 42121, Tel. 0522/456111.</w:t>
      </w:r>
    </w:p>
    <w:p>
      <w:pPr>
        <w:pStyle w:val="Normal"/>
        <w:jc w:val="both"/>
        <w:rPr>
          <w:rFonts w:ascii="Arial" w:hAnsi="Arial"/>
          <w:sz w:val="18"/>
          <w:szCs w:val="18"/>
        </w:rPr>
      </w:pPr>
      <w:r>
        <w:rPr>
          <w:rFonts w:ascii="Arial" w:hAnsi="Arial"/>
          <w:b/>
          <w:bCs/>
          <w:sz w:val="18"/>
          <w:szCs w:val="18"/>
          <w:lang w:val="it-IT"/>
        </w:rPr>
        <w:t>3. Responsabile della protezione dei dati personali</w:t>
      </w:r>
    </w:p>
    <w:p>
      <w:pPr>
        <w:pStyle w:val="Normal"/>
        <w:jc w:val="both"/>
        <w:rPr>
          <w:rFonts w:ascii="Arial" w:hAnsi="Arial"/>
          <w:sz w:val="18"/>
          <w:szCs w:val="18"/>
        </w:rPr>
      </w:pPr>
      <w:r>
        <w:rPr>
          <w:rFonts w:ascii="Arial" w:hAnsi="Arial"/>
          <w:sz w:val="18"/>
          <w:szCs w:val="18"/>
          <w:lang w:val="it-IT"/>
        </w:rPr>
        <w:t xml:space="preserve">Il Comune di Reggio Emilia ha designato quale Responsabile della protezione dei dati la società Lepida SpA </w:t>
      </w:r>
      <w:r>
        <w:rPr>
          <w:rFonts w:ascii="Arial" w:hAnsi="Arial"/>
          <w:b/>
          <w:bCs/>
          <w:outline w:val="false"/>
          <w:color w:val="000000"/>
          <w:sz w:val="18"/>
          <w:szCs w:val="18"/>
          <w:u w:val="none" w:color="000000"/>
          <w:lang w:val="it-IT"/>
          <w14:textFill>
            <w14:solidFill>
              <w14:srgbClr w14:val="000000"/>
            </w14:solidFill>
          </w14:textFill>
        </w:rPr>
        <w:t>Via della Liberazione, 15 Bologna Tel 051/6338800 email: dpo-team@lepida.it.</w:t>
      </w:r>
    </w:p>
    <w:p>
      <w:pPr>
        <w:pStyle w:val="Normal"/>
        <w:jc w:val="both"/>
        <w:rPr>
          <w:rFonts w:ascii="Arial" w:hAnsi="Arial"/>
          <w:sz w:val="18"/>
          <w:szCs w:val="18"/>
        </w:rPr>
      </w:pPr>
      <w:r>
        <w:rPr>
          <w:rFonts w:ascii="Arial" w:hAnsi="Arial"/>
          <w:b/>
          <w:bCs/>
          <w:sz w:val="18"/>
          <w:szCs w:val="18"/>
          <w:lang w:val="it-IT"/>
        </w:rPr>
        <w:t>4. Responsabili del trattamento</w:t>
      </w:r>
    </w:p>
    <w:p>
      <w:pPr>
        <w:pStyle w:val="Normal"/>
        <w:jc w:val="both"/>
        <w:rPr>
          <w:rFonts w:ascii="Arial" w:hAnsi="Arial"/>
          <w:sz w:val="18"/>
          <w:szCs w:val="18"/>
        </w:rPr>
      </w:pPr>
      <w:r>
        <w:rPr>
          <w:rFonts w:ascii="Arial" w:hAnsi="Arial"/>
          <w:sz w:val="18"/>
          <w:szCs w:val="18"/>
          <w:lang w:val="it-IT"/>
        </w:rPr>
        <w:t xml:space="preserve">Il Comune di Reggio Emilia  può avvalersi di soggetti terzi per l’espletamento di attività e relativi trattamenti di dati personali di cui il Comune ha la titolarità. Conformemente a quanto stabilito dall’art. 28 del  Regolamento UE 679/2016 con tali soggetti il Comune sottoscrive contratti che vincolano il Responsabile del trattamento al rispetto dalla normativa. </w:t>
      </w:r>
    </w:p>
    <w:p>
      <w:pPr>
        <w:pStyle w:val="Normal"/>
        <w:jc w:val="both"/>
        <w:rPr>
          <w:rFonts w:ascii="Arial" w:hAnsi="Arial"/>
          <w:sz w:val="18"/>
          <w:szCs w:val="18"/>
        </w:rPr>
      </w:pPr>
      <w:r>
        <w:rPr>
          <w:rFonts w:ascii="Arial" w:hAnsi="Arial"/>
          <w:b/>
          <w:bCs/>
          <w:sz w:val="18"/>
          <w:szCs w:val="18"/>
          <w:lang w:val="it-IT"/>
        </w:rPr>
        <w:t>5. Soggetti autorizzati al trattamento</w:t>
      </w:r>
    </w:p>
    <w:p>
      <w:pPr>
        <w:pStyle w:val="Normal"/>
        <w:jc w:val="both"/>
        <w:rPr>
          <w:rFonts w:ascii="Arial" w:hAnsi="Arial"/>
          <w:sz w:val="18"/>
          <w:szCs w:val="18"/>
        </w:rPr>
      </w:pPr>
      <w:r>
        <w:rPr>
          <w:rFonts w:ascii="Arial" w:hAnsi="Arial"/>
          <w:sz w:val="18"/>
          <w:szCs w:val="18"/>
          <w:lang w:val="it-IT"/>
        </w:rPr>
        <w:t xml:space="preserve">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pPr>
        <w:pStyle w:val="Normal"/>
        <w:jc w:val="both"/>
        <w:rPr>
          <w:rFonts w:ascii="Arial" w:hAnsi="Arial"/>
          <w:sz w:val="18"/>
          <w:szCs w:val="18"/>
        </w:rPr>
      </w:pPr>
      <w:r>
        <w:rPr>
          <w:rFonts w:ascii="Arial" w:hAnsi="Arial"/>
          <w:b/>
          <w:bCs/>
          <w:sz w:val="18"/>
          <w:szCs w:val="18"/>
          <w:lang w:val="it-IT"/>
        </w:rPr>
        <w:t>6. Finalità e base giuridica del trattamento</w:t>
      </w:r>
    </w:p>
    <w:p>
      <w:pPr>
        <w:pStyle w:val="Normal"/>
        <w:jc w:val="both"/>
        <w:rPr>
          <w:rFonts w:ascii="Arial" w:hAnsi="Arial"/>
          <w:sz w:val="18"/>
          <w:szCs w:val="18"/>
        </w:rPr>
      </w:pPr>
      <w:r>
        <w:rPr>
          <w:rFonts w:ascii="Arial" w:hAnsi="Arial"/>
          <w:sz w:val="18"/>
          <w:szCs w:val="18"/>
          <w:lang w:val="it-IT"/>
        </w:rPr>
        <w:t xml:space="preserve">Il trattamento dei suoi dati personali viene effettuato dal Comune di Reggio Emilia per lo svolgimento di funzioni istituzionali e, pertanto, ai sensi dell’art. 6 comma 1 lett. e) non necessita del suo consenso. </w:t>
      </w:r>
    </w:p>
    <w:p>
      <w:pPr>
        <w:pStyle w:val="Normal"/>
        <w:jc w:val="both"/>
        <w:rPr>
          <w:rFonts w:ascii="Arial" w:hAnsi="Arial"/>
          <w:sz w:val="18"/>
          <w:szCs w:val="18"/>
        </w:rPr>
      </w:pPr>
      <w:r>
        <w:rPr>
          <w:rFonts w:ascii="Arial" w:hAnsi="Arial"/>
          <w:sz w:val="18"/>
          <w:szCs w:val="18"/>
          <w:lang w:val="it-IT"/>
        </w:rPr>
        <w:t>I dati personali sono trattati per il conferimento del servizio oggetto del contratto di cui la presente informativa costituisce allegato integrante, e per i conseguenti adempimenti, quali le liquidazioni delle competenze e l’eventuale rendicontazione delle stesse</w:t>
      </w:r>
      <w:r>
        <w:rPr>
          <w:rFonts w:ascii="Arial" w:hAnsi="Arial"/>
          <w:i/>
          <w:iCs/>
          <w:sz w:val="18"/>
          <w:szCs w:val="18"/>
          <w:lang w:val="it-IT"/>
        </w:rPr>
        <w:t>.</w:t>
      </w:r>
    </w:p>
    <w:p>
      <w:pPr>
        <w:pStyle w:val="Normal"/>
        <w:rPr>
          <w:rFonts w:ascii="Arial" w:hAnsi="Arial"/>
          <w:sz w:val="18"/>
          <w:szCs w:val="18"/>
        </w:rPr>
      </w:pPr>
      <w:r>
        <w:rPr>
          <w:rFonts w:ascii="Arial" w:hAnsi="Arial"/>
          <w:sz w:val="18"/>
          <w:szCs w:val="18"/>
          <w:lang w:val="it-IT"/>
        </w:rPr>
        <w:t>I dati personali saranno trattati dal Comune di Reggio Emilia esclusivamente per le finalità che rientrano nei compiti istituzionali dell’Amministrazione e di interesse pubblico o per gli adempimenti previsti da norme di legge o di regolamento.</w:t>
      </w:r>
      <w:r>
        <w:rPr>
          <w:rFonts w:eastAsia="Arial" w:cs="Arial" w:ascii="Arial" w:hAnsi="Arial"/>
          <w:sz w:val="18"/>
          <w:szCs w:val="18"/>
        </w:rPr>
        <w:br/>
      </w:r>
      <w:r>
        <w:rPr>
          <w:rFonts w:ascii="Arial" w:hAnsi="Arial"/>
          <w:sz w:val="18"/>
          <w:szCs w:val="18"/>
          <w:lang w:val="it-IT"/>
        </w:rPr>
        <w:t>Nell’ambito di tali finalità il trattamento riguarda anche i dati relativi alle iscrizioni/registrazioni al portale necessari per la gestione dei rapporti con il Comune di Reggio Emilia, nonché per consentire un’efficace comunicazione istituzionale e per adempiere ad eventuali obblighi di legge, regolamentari o contrattuali.</w:t>
      </w:r>
    </w:p>
    <w:p>
      <w:pPr>
        <w:pStyle w:val="Normal"/>
        <w:jc w:val="both"/>
        <w:rPr>
          <w:rFonts w:ascii="Arial" w:hAnsi="Arial"/>
          <w:sz w:val="18"/>
          <w:szCs w:val="18"/>
        </w:rPr>
      </w:pPr>
      <w:r>
        <w:rPr>
          <w:rFonts w:ascii="Arial" w:hAnsi="Arial"/>
          <w:b/>
          <w:bCs/>
          <w:sz w:val="18"/>
          <w:szCs w:val="18"/>
          <w:lang w:val="it-IT"/>
        </w:rPr>
        <w:t>7. Destinatari dei dati personali</w:t>
      </w:r>
    </w:p>
    <w:p>
      <w:pPr>
        <w:pStyle w:val="Normal"/>
        <w:jc w:val="both"/>
        <w:rPr>
          <w:rFonts w:ascii="Arial" w:hAnsi="Arial"/>
          <w:sz w:val="18"/>
          <w:szCs w:val="18"/>
        </w:rPr>
      </w:pPr>
      <w:r>
        <w:rPr>
          <w:rFonts w:ascii="Arial" w:hAnsi="Arial"/>
          <w:sz w:val="18"/>
          <w:szCs w:val="18"/>
          <w:lang w:val="it-IT"/>
        </w:rPr>
        <w:t>I suoi dati potranno essere comunicati ai soggetti che, per specifica disposizione normativa regionale, statale o comunitaria, rendono obbligatoria la rendicontazione del servizio oggetto del contratto di cui la presente informativa costituisce allegato integrante.</w:t>
      </w:r>
    </w:p>
    <w:p>
      <w:pPr>
        <w:pStyle w:val="Normal"/>
        <w:jc w:val="both"/>
        <w:rPr>
          <w:rFonts w:ascii="Arial" w:hAnsi="Arial"/>
          <w:sz w:val="18"/>
          <w:szCs w:val="18"/>
        </w:rPr>
      </w:pPr>
      <w:r>
        <w:rPr>
          <w:rFonts w:ascii="Arial" w:hAnsi="Arial"/>
          <w:b/>
          <w:bCs/>
          <w:sz w:val="18"/>
          <w:szCs w:val="18"/>
          <w:lang w:val="it-IT"/>
        </w:rPr>
        <w:t>8. Trasferimento dei dati personali a Paesi extra UE</w:t>
      </w:r>
    </w:p>
    <w:p>
      <w:pPr>
        <w:pStyle w:val="Normal"/>
        <w:jc w:val="both"/>
        <w:rPr>
          <w:rFonts w:ascii="Arial" w:hAnsi="Arial"/>
          <w:sz w:val="18"/>
          <w:szCs w:val="18"/>
        </w:rPr>
      </w:pPr>
      <w:r>
        <w:rPr>
          <w:rFonts w:ascii="Arial" w:hAnsi="Arial"/>
          <w:sz w:val="18"/>
          <w:szCs w:val="18"/>
          <w:lang w:val="it-IT"/>
        </w:rPr>
        <w:t xml:space="preserve">I suoi dati personali non sono trasferiti al di fuori dell’Unione europea, </w:t>
      </w:r>
      <w:r>
        <w:rPr>
          <w:rFonts w:ascii="Arial" w:hAnsi="Arial"/>
          <w:b/>
          <w:bCs/>
          <w:sz w:val="18"/>
          <w:szCs w:val="18"/>
          <w:lang w:val="it-IT"/>
        </w:rPr>
        <w:t>salvo i casi previsti da specifici obblighi normativi</w:t>
      </w:r>
      <w:r>
        <w:rPr>
          <w:rFonts w:ascii="Arial" w:hAnsi="Arial"/>
          <w:sz w:val="18"/>
          <w:szCs w:val="18"/>
          <w:lang w:val="it-IT"/>
        </w:rPr>
        <w:t xml:space="preserve">. </w:t>
      </w:r>
    </w:p>
    <w:p>
      <w:pPr>
        <w:pStyle w:val="Normal"/>
        <w:jc w:val="both"/>
        <w:rPr>
          <w:rFonts w:ascii="Arial" w:hAnsi="Arial"/>
          <w:sz w:val="18"/>
          <w:szCs w:val="18"/>
        </w:rPr>
      </w:pPr>
      <w:r>
        <w:rPr>
          <w:rFonts w:ascii="Arial" w:hAnsi="Arial"/>
          <w:b/>
          <w:bCs/>
          <w:sz w:val="18"/>
          <w:szCs w:val="18"/>
          <w:lang w:val="it-IT"/>
        </w:rPr>
        <w:t>9. Periodo di conservazione</w:t>
      </w:r>
    </w:p>
    <w:p>
      <w:pPr>
        <w:pStyle w:val="Normal"/>
        <w:jc w:val="both"/>
        <w:rPr>
          <w:rFonts w:ascii="Arial" w:hAnsi="Arial"/>
          <w:sz w:val="18"/>
          <w:szCs w:val="18"/>
        </w:rPr>
      </w:pPr>
      <w:r>
        <w:rPr>
          <w:rFonts w:ascii="Arial" w:hAnsi="Arial"/>
          <w:sz w:val="18"/>
          <w:szCs w:val="18"/>
          <w:lang w:val="it-IT"/>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Lei fornisce di propria iniziativa. I dati che, anche a seguito delle verifiche, risultano eccedenti o non pertinenti o non indispensabili non sono utilizzati, salvo che per l'eventuale conservazione, a norma di legge, dell'atto o del documento che li contiene.</w:t>
      </w:r>
    </w:p>
    <w:p>
      <w:pPr>
        <w:pStyle w:val="Normal"/>
        <w:jc w:val="both"/>
        <w:rPr>
          <w:rFonts w:ascii="Arial" w:hAnsi="Arial"/>
          <w:sz w:val="18"/>
          <w:szCs w:val="18"/>
        </w:rPr>
      </w:pPr>
      <w:r>
        <w:rPr>
          <w:rFonts w:ascii="Arial" w:hAnsi="Arial"/>
          <w:b/>
          <w:bCs/>
          <w:sz w:val="18"/>
          <w:szCs w:val="18"/>
          <w:lang w:val="it-IT"/>
        </w:rPr>
        <w:t>10. I suoi diritti</w:t>
      </w:r>
      <w:r>
        <w:rPr>
          <w:rFonts w:ascii="Arial" w:hAnsi="Arial"/>
          <w:sz w:val="18"/>
          <w:szCs w:val="18"/>
          <w:lang w:val="it-IT"/>
        </w:rPr>
        <w:t xml:space="preserve"> </w:t>
      </w:r>
    </w:p>
    <w:p>
      <w:pPr>
        <w:pStyle w:val="Normal"/>
        <w:jc w:val="both"/>
        <w:rPr>
          <w:rFonts w:ascii="Arial" w:hAnsi="Arial"/>
          <w:sz w:val="18"/>
          <w:szCs w:val="18"/>
        </w:rPr>
      </w:pPr>
      <w:r>
        <w:rPr>
          <w:rFonts w:ascii="Arial" w:hAnsi="Arial"/>
          <w:sz w:val="18"/>
          <w:szCs w:val="18"/>
          <w:lang w:val="it-IT"/>
        </w:rPr>
        <w:t>Nella sua qualità di interessato, Lei ha diritto:</w:t>
      </w:r>
    </w:p>
    <w:p>
      <w:pPr>
        <w:pStyle w:val="Normal"/>
        <w:jc w:val="both"/>
        <w:rPr>
          <w:rFonts w:ascii="Arial" w:hAnsi="Arial"/>
          <w:sz w:val="18"/>
          <w:szCs w:val="18"/>
        </w:rPr>
      </w:pPr>
      <w:r>
        <w:rPr>
          <w:rFonts w:ascii="Arial" w:hAnsi="Arial"/>
          <w:sz w:val="18"/>
          <w:szCs w:val="18"/>
          <w:lang w:val="it-IT"/>
        </w:rPr>
        <w:t xml:space="preserve">● </w:t>
      </w:r>
      <w:r>
        <w:rPr>
          <w:rFonts w:ascii="Arial" w:hAnsi="Arial"/>
          <w:sz w:val="18"/>
          <w:szCs w:val="18"/>
          <w:lang w:val="it-IT"/>
        </w:rPr>
        <w:t xml:space="preserve">di accesso ai dati personali; </w:t>
      </w:r>
    </w:p>
    <w:p>
      <w:pPr>
        <w:pStyle w:val="Normal"/>
        <w:jc w:val="both"/>
        <w:rPr>
          <w:rFonts w:ascii="Arial" w:hAnsi="Arial"/>
          <w:sz w:val="18"/>
          <w:szCs w:val="18"/>
        </w:rPr>
      </w:pPr>
      <w:r>
        <w:rPr>
          <w:rFonts w:ascii="Arial" w:hAnsi="Arial"/>
          <w:sz w:val="18"/>
          <w:szCs w:val="18"/>
          <w:lang w:val="it-IT"/>
        </w:rPr>
        <w:t xml:space="preserve">● </w:t>
      </w:r>
      <w:r>
        <w:rPr>
          <w:rFonts w:ascii="Arial" w:hAnsi="Arial"/>
          <w:sz w:val="18"/>
          <w:szCs w:val="18"/>
          <w:lang w:val="it-IT"/>
        </w:rPr>
        <w:t xml:space="preserve">di ottenere la rettifica o la cancellazione degli stessi o la limitazione del trattamento che lo riguardano; </w:t>
      </w:r>
    </w:p>
    <w:p>
      <w:pPr>
        <w:pStyle w:val="Normal"/>
        <w:jc w:val="both"/>
        <w:rPr>
          <w:rFonts w:ascii="Arial" w:hAnsi="Arial"/>
          <w:sz w:val="18"/>
          <w:szCs w:val="18"/>
        </w:rPr>
      </w:pPr>
      <w:r>
        <w:rPr>
          <w:rFonts w:ascii="Arial" w:hAnsi="Arial"/>
          <w:sz w:val="18"/>
          <w:szCs w:val="18"/>
          <w:lang w:val="it-IT"/>
        </w:rPr>
        <w:t xml:space="preserve">● </w:t>
      </w:r>
      <w:r>
        <w:rPr>
          <w:rFonts w:ascii="Arial" w:hAnsi="Arial"/>
          <w:sz w:val="18"/>
          <w:szCs w:val="18"/>
          <w:lang w:val="it-IT"/>
        </w:rPr>
        <w:t xml:space="preserve">di opporsi al trattamento; </w:t>
      </w:r>
    </w:p>
    <w:p>
      <w:pPr>
        <w:pStyle w:val="Normal"/>
        <w:jc w:val="both"/>
        <w:rPr>
          <w:rFonts w:ascii="Arial" w:hAnsi="Arial"/>
          <w:sz w:val="18"/>
          <w:szCs w:val="18"/>
        </w:rPr>
      </w:pPr>
      <w:r>
        <w:rPr>
          <w:rFonts w:ascii="Arial" w:hAnsi="Arial"/>
          <w:sz w:val="18"/>
          <w:szCs w:val="18"/>
          <w:lang w:val="it-IT"/>
        </w:rPr>
        <w:t xml:space="preserve">● </w:t>
      </w:r>
      <w:r>
        <w:rPr>
          <w:rFonts w:ascii="Arial" w:hAnsi="Arial"/>
          <w:sz w:val="18"/>
          <w:szCs w:val="18"/>
          <w:lang w:val="it-IT"/>
        </w:rPr>
        <w:t xml:space="preserve">di proporre reclamo al Garante per la protezione dei dati personali </w:t>
      </w:r>
    </w:p>
    <w:p>
      <w:pPr>
        <w:pStyle w:val="Normal"/>
        <w:jc w:val="both"/>
        <w:rPr>
          <w:rFonts w:ascii="Arial" w:hAnsi="Arial"/>
          <w:sz w:val="18"/>
          <w:szCs w:val="18"/>
        </w:rPr>
      </w:pPr>
      <w:r>
        <w:rPr>
          <w:rFonts w:ascii="Arial" w:hAnsi="Arial"/>
          <w:sz w:val="18"/>
          <w:szCs w:val="18"/>
          <w:lang w:val="it-IT"/>
        </w:rPr>
        <w:t>Per l’esercizio dei diritti di cui sopra l’interessato può contattare:</w:t>
      </w:r>
    </w:p>
    <w:p>
      <w:pPr>
        <w:pStyle w:val="Normal"/>
        <w:jc w:val="both"/>
        <w:rPr/>
      </w:pPr>
      <w:r>
        <w:rPr>
          <w:rFonts w:ascii="Arial" w:hAnsi="Arial"/>
          <w:sz w:val="18"/>
          <w:szCs w:val="18"/>
          <w:lang w:val="it-IT"/>
        </w:rPr>
        <w:t xml:space="preserve">-  il Responsabile della protezione dei dati del Comune di Reggio Emilia: società Lepida SpA </w:t>
      </w:r>
      <w:r>
        <w:rPr>
          <w:rFonts w:ascii="Arial" w:hAnsi="Arial"/>
          <w:outline w:val="false"/>
          <w:color w:val="000000"/>
          <w:sz w:val="18"/>
          <w:szCs w:val="18"/>
          <w:u w:val="none" w:color="000000"/>
          <w:lang w:val="it-IT"/>
          <w14:textFill>
            <w14:solidFill>
              <w14:srgbClr w14:val="000000"/>
            </w14:solidFill>
          </w14:textFill>
        </w:rPr>
        <w:t xml:space="preserve">Via della Liberazione, 15 Bologna Tel 051/6338800 email: </w:t>
      </w:r>
      <w:hyperlink r:id="rId4">
        <w:r>
          <w:rPr>
            <w:rStyle w:val="Hyperlink0"/>
            <w:rFonts w:ascii="Arial" w:hAnsi="Arial"/>
            <w:sz w:val="18"/>
            <w:szCs w:val="18"/>
            <w:lang w:val="it-IT"/>
          </w:rPr>
          <w:t>dpo-team@lepida.it</w:t>
        </w:r>
      </w:hyperlink>
      <w:r>
        <w:rPr>
          <w:rStyle w:val="Hyperlink0"/>
          <w:rFonts w:ascii="Arial" w:hAnsi="Arial"/>
          <w:sz w:val="18"/>
          <w:szCs w:val="18"/>
          <w:lang w:val="it-IT"/>
        </w:rPr>
        <w:t xml:space="preserve"> pec: segreteria@pec.lepida.it</w:t>
      </w:r>
    </w:p>
    <w:p>
      <w:pPr>
        <w:pStyle w:val="Normal"/>
        <w:jc w:val="both"/>
        <w:rPr/>
      </w:pPr>
      <w:r>
        <w:rPr>
          <w:rStyle w:val="Hyperlink0"/>
          <w:rFonts w:ascii="Arial" w:hAnsi="Arial"/>
          <w:sz w:val="18"/>
          <w:szCs w:val="18"/>
          <w:lang w:val="it-IT"/>
        </w:rPr>
        <w:t xml:space="preserve">- </w:t>
      </w:r>
      <w:r>
        <w:rPr>
          <w:rStyle w:val="Nessuno"/>
          <w:rFonts w:ascii="Arial" w:hAnsi="Arial"/>
          <w:sz w:val="18"/>
          <w:szCs w:val="18"/>
          <w:lang w:val="it-IT"/>
        </w:rPr>
        <w:t xml:space="preserve">il Titolare del trattamento dei dati Comune di Reggio Emilia, con sede a Reggio Emilia, Piazza Prampolini n°1, cap 42121, Tel. 0522/456111. mail: </w:t>
      </w:r>
      <w:hyperlink r:id="rId5">
        <w:r>
          <w:rPr>
            <w:rStyle w:val="Hyperlink1"/>
            <w:rFonts w:ascii="Arial" w:hAnsi="Arial"/>
            <w:sz w:val="18"/>
            <w:szCs w:val="18"/>
          </w:rPr>
          <w:t>privacy</w:t>
        </w:r>
        <w:r>
          <w:rPr>
            <w:rStyle w:val="Hyperlink0"/>
            <w:rFonts w:ascii="Arial" w:hAnsi="Arial"/>
            <w:sz w:val="18"/>
            <w:szCs w:val="18"/>
            <w:lang w:val="it-IT"/>
          </w:rPr>
          <w:t>@comune.re.it</w:t>
        </w:r>
      </w:hyperlink>
      <w:r>
        <w:rPr>
          <w:rStyle w:val="Hyperlink0"/>
          <w:rFonts w:ascii="Arial" w:hAnsi="Arial"/>
          <w:sz w:val="18"/>
          <w:szCs w:val="18"/>
          <w:lang w:val="it-IT"/>
        </w:rPr>
        <w:t xml:space="preserve"> </w:t>
      </w:r>
      <w:r>
        <w:rPr>
          <w:rStyle w:val="Nessuno"/>
          <w:rFonts w:ascii="Arial" w:hAnsi="Arial"/>
          <w:sz w:val="18"/>
          <w:szCs w:val="18"/>
          <w:lang w:val="it-IT"/>
        </w:rPr>
        <w:t xml:space="preserve"> pec: </w:t>
      </w:r>
      <w:hyperlink r:id="rId6">
        <w:r>
          <w:rPr>
            <w:rStyle w:val="Nessuno"/>
            <w:rFonts w:ascii="Arial" w:hAnsi="Arial"/>
            <w:sz w:val="18"/>
            <w:szCs w:val="18"/>
            <w:lang w:val="it-IT"/>
          </w:rPr>
          <w:t>comune.reggioemilia</w:t>
        </w:r>
        <w:hyperlink r:id="rId7">
          <w:r>
            <w:rPr>
              <w:rStyle w:val="Hyperlink0"/>
              <w:rFonts w:ascii="Arial" w:hAnsi="Arial"/>
              <w:sz w:val="18"/>
              <w:szCs w:val="18"/>
              <w:lang w:val="it-IT"/>
            </w:rPr>
            <w:t>@pec.municipio.re.it</w:t>
          </w:r>
        </w:hyperlink>
      </w:hyperlink>
    </w:p>
    <w:p>
      <w:pPr>
        <w:pStyle w:val="Normal"/>
        <w:jc w:val="both"/>
        <w:rPr/>
      </w:pPr>
      <w:r>
        <w:rPr>
          <w:rStyle w:val="Nessuno"/>
          <w:rFonts w:ascii="Arial" w:hAnsi="Arial"/>
          <w:b/>
          <w:bCs/>
          <w:sz w:val="18"/>
          <w:szCs w:val="18"/>
          <w:lang w:val="it-IT"/>
        </w:rPr>
        <w:t>11. Conferimento dei dati</w:t>
      </w:r>
    </w:p>
    <w:p>
      <w:pPr>
        <w:sectPr>
          <w:headerReference w:type="default" r:id="rId8"/>
          <w:footerReference w:type="default" r:id="rId9"/>
          <w:type w:val="nextPage"/>
          <w:pgSz w:w="11906" w:h="16838"/>
          <w:pgMar w:left="1418" w:right="1418" w:header="720" w:top="1021" w:footer="720" w:bottom="1134" w:gutter="0"/>
          <w:pgNumType w:fmt="decimal"/>
          <w:formProt w:val="false"/>
          <w:textDirection w:val="lrTb"/>
          <w:docGrid w:type="default" w:linePitch="100" w:charSpace="0"/>
        </w:sectPr>
      </w:pPr>
    </w:p>
    <w:p>
      <w:pPr>
        <w:pStyle w:val="Normal"/>
        <w:widowControl w:val="false"/>
        <w:jc w:val="both"/>
        <w:rPr/>
      </w:pPr>
      <w:r>
        <w:rPr>
          <w:rStyle w:val="Nessuno"/>
          <w:rFonts w:ascii="Arial" w:hAnsi="Arial"/>
          <w:sz w:val="18"/>
          <w:szCs w:val="18"/>
          <w:lang w:val="it-IT"/>
        </w:rPr>
        <w:t xml:space="preserve">Il conferimento dei Suoi dati è facoltativo, ma necessario per le finalità sopra indicate. Il mancato conferimento comporterà </w:t>
      </w:r>
      <w:r>
        <w:rPr>
          <w:rStyle w:val="Nessuno"/>
          <w:rFonts w:ascii="Arial" w:hAnsi="Arial"/>
          <w:caps w:val="false"/>
          <w:smallCaps w:val="false"/>
          <w:strike w:val="false"/>
          <w:dstrike w:val="false"/>
          <w:outline w:val="false"/>
          <w:color w:val="000000"/>
          <w:sz w:val="18"/>
          <w:szCs w:val="18"/>
          <w:u w:val="none" w:color="000000"/>
          <w:lang w:val="it-IT"/>
          <w14:textFill>
            <w14:solidFill>
              <w14:srgbClr w14:val="000000"/>
            </w14:solidFill>
          </w14:textFill>
        </w:rPr>
        <w:t>l’impossibilità di perfezionare il conferimento del servizio.</w:t>
      </w:r>
    </w:p>
    <w:sectPr>
      <w:type w:val="continuous"/>
      <w:pgSz w:w="11906" w:h="16838"/>
      <w:pgMar w:left="1418" w:right="1418" w:header="720" w:top="1021" w:footer="72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Arial">
    <w:charset w:val="01"/>
    <w:family w:val="swiss"/>
    <w:pitch w:val="default"/>
  </w:font>
  <w:font w:name="Wingdings">
    <w:charset w:val="01"/>
    <w:family w:val="swiss"/>
    <w:pitch w:val="default"/>
  </w:font>
  <w:font w:name="Trebuchet MS">
    <w:charset w:val="01"/>
    <w:family w:val="swiss"/>
    <w:pitch w:val="default"/>
  </w:font>
  <w:font w:name="Helvetica Neue">
    <w:charset w:val="01"/>
    <w:family w:val="swiss"/>
    <w:pitch w:val="default"/>
  </w:font>
  <w:font w:name="Arial">
    <w:charset w:val="01"/>
    <w:family w:val="swiss"/>
    <w:pitch w:val="variable"/>
  </w:font>
  <w:font w:name="Arial Unicode MS">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tabs>
        <w:tab w:val="clear" w:pos="9638"/>
        <w:tab w:val="center" w:pos="4819" w:leader="none"/>
        <w:tab w:val="right" w:pos="9044" w:leader="none"/>
      </w:tabs>
      <w:jc w:val="right"/>
      <w:rPr/>
    </w:pPr>
    <w:r>
      <w:rPr>
        <w:rFonts w:ascii="Arial" w:hAnsi="Arial"/>
        <w:sz w:val="22"/>
        <w:szCs w:val="22"/>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epidipagina"/>
      <w:bidi w:val="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288"/>
        </w:tabs>
        <w:ind w:left="753" w:hanging="393"/>
      </w:pPr>
      <w:rPr>
        <w:rFonts w:ascii="Symbol" w:hAnsi="Symbol" w:cs="Symbol" w:hint="default"/>
        <w:smallCaps w:val="false"/>
        <w:caps w:val="false"/>
        <w:outline w:val="false"/>
        <w:dstrike w:val="false"/>
        <w:strike w:val="false"/>
        <w:vertAlign w:val="baseline"/>
        <w:position w:val="0"/>
        <w:sz w:val="22"/>
        <w:sz w:val="22"/>
        <w:spacing w:val="0"/>
        <w:i w:val="false"/>
        <w:b w:val="false"/>
        <w:kern w:val="0"/>
        <w:szCs w:val="24"/>
        <w:iCs w:val="false"/>
        <w:bCs w:val="false"/>
        <w:w w:val="100"/>
        <w:emboss w:val="false"/>
        <w:imprint w:val="false"/>
        <w:rFonts w:cs="Symbol"/>
      </w:rPr>
    </w:lvl>
    <w:lvl w:ilvl="1">
      <w:start w:val="1"/>
      <w:numFmt w:val="bullet"/>
      <w:lvlText w:val="◦"/>
      <w:lvlJc w:val="left"/>
      <w:pPr>
        <w:tabs>
          <w:tab w:val="num" w:pos="1008"/>
        </w:tabs>
        <w:ind w:left="1034" w:hanging="314"/>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Arial Unicode MS"/>
      </w:rPr>
    </w:lvl>
    <w:lvl w:ilvl="2">
      <w:start w:val="1"/>
      <w:numFmt w:val="bullet"/>
      <w:lvlText w:val="▪"/>
      <w:lvlJc w:val="left"/>
      <w:pPr>
        <w:tabs>
          <w:tab w:val="num" w:pos="288"/>
        </w:tabs>
        <w:ind w:left="1473" w:hanging="393"/>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Arial Unicode MS"/>
      </w:rPr>
    </w:lvl>
    <w:lvl w:ilvl="3">
      <w:start w:val="1"/>
      <w:numFmt w:val="bullet"/>
      <w:lvlText w:val="·"/>
      <w:lvlJc w:val="left"/>
      <w:pPr>
        <w:tabs>
          <w:tab w:val="num" w:pos="1728"/>
        </w:tabs>
        <w:ind w:left="1754" w:hanging="314"/>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Symbol"/>
      </w:rPr>
    </w:lvl>
    <w:lvl w:ilvl="4">
      <w:start w:val="1"/>
      <w:numFmt w:val="bullet"/>
      <w:lvlText w:val="◦"/>
      <w:lvlJc w:val="left"/>
      <w:pPr>
        <w:tabs>
          <w:tab w:val="num" w:pos="288"/>
        </w:tabs>
        <w:ind w:left="2193" w:hanging="393"/>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Arial Unicode MS"/>
      </w:rPr>
    </w:lvl>
    <w:lvl w:ilvl="5">
      <w:start w:val="1"/>
      <w:numFmt w:val="bullet"/>
      <w:lvlText w:val="▪"/>
      <w:lvlJc w:val="left"/>
      <w:pPr>
        <w:tabs>
          <w:tab w:val="num" w:pos="2448"/>
        </w:tabs>
        <w:ind w:left="2474" w:hanging="314"/>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Arial Unicode MS"/>
      </w:rPr>
    </w:lvl>
    <w:lvl w:ilvl="6">
      <w:start w:val="1"/>
      <w:numFmt w:val="bullet"/>
      <w:lvlText w:val="·"/>
      <w:lvlJc w:val="left"/>
      <w:pPr>
        <w:tabs>
          <w:tab w:val="num" w:pos="288"/>
        </w:tabs>
        <w:ind w:left="2913" w:hanging="393"/>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Symbol"/>
      </w:rPr>
    </w:lvl>
    <w:lvl w:ilvl="7">
      <w:start w:val="1"/>
      <w:numFmt w:val="bullet"/>
      <w:lvlText w:val="◦"/>
      <w:lvlJc w:val="left"/>
      <w:pPr>
        <w:tabs>
          <w:tab w:val="num" w:pos="3168"/>
        </w:tabs>
        <w:ind w:left="3194" w:hanging="314"/>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Arial Unicode MS"/>
      </w:rPr>
    </w:lvl>
    <w:lvl w:ilvl="8">
      <w:start w:val="1"/>
      <w:numFmt w:val="bullet"/>
      <w:lvlText w:val="▪"/>
      <w:lvlJc w:val="left"/>
      <w:pPr>
        <w:tabs>
          <w:tab w:val="num" w:pos="288"/>
        </w:tabs>
        <w:ind w:left="3633" w:hanging="393"/>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Fonts w:cs="Arial Unicode MS"/>
      </w:rPr>
    </w:lvl>
  </w:abstractNum>
  <w:abstractNum w:abstractNumId="2">
    <w:lvl w:ilvl="0">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1">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2">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3">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4">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5">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6">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7">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lvl w:ilvl="8">
      <w:start w:val="1"/>
      <w:numFmt w:val="bullet"/>
      <w:lvlText w:val="▪"/>
      <w:lvlJc w:val="left"/>
      <w:pPr>
        <w:tabs>
          <w:tab w:val="num" w:pos="6768"/>
        </w:tabs>
        <w:ind w:left="720" w:hanging="360"/>
      </w:pPr>
      <w:rPr>
        <w:rFonts w:ascii="Arial Unicode MS" w:hAnsi="Arial Unicode MS" w:cs="Arial Unicode MS"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Arial Unicode MS"/>
      </w:rPr>
    </w:lvl>
  </w:abstractNum>
  <w:abstractNum w:abstractNumId="3">
    <w:lvl w:ilvl="0">
      <w:start w:val="3"/>
      <w:numFmt w:val="bullet"/>
      <w:lvlText w:val="-"/>
      <w:lvlJc w:val="left"/>
      <w:pPr>
        <w:tabs>
          <w:tab w:val="num" w:pos="360"/>
        </w:tabs>
        <w:ind w:left="360" w:hanging="360"/>
      </w:pPr>
      <w:rPr>
        <w:rFonts w:ascii="Times New Roman" w:hAnsi="Times New Roman" w:cs="Times New Roman" w:hint="default"/>
        <w:sz w:val="22"/>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fals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it-IT" w:eastAsia="zh-CN" w:bidi="hi-IN"/>
      </w:rPr>
    </w:rPrDefault>
    <w:pPrDefault>
      <w:pPr/>
    </w:pPrDefault>
  </w:docDefaults>
  <w:style w:type="paragraph" w:styleId="Normal" w:default="1">
    <w:name w:val="Normal"/>
    <w:qFormat/>
    <w:pPr>
      <w:keepNext w:val="false"/>
      <w:keepLines w:val="false"/>
      <w:pageBreakBefore w:val="false"/>
      <w:widowControl/>
      <w:shd w:val="clear" w:color="auto" w:fill="auto"/>
      <w:suppressAutoHyphens w:val="true"/>
      <w:bidi w:val="0"/>
      <w:spacing w:lineRule="auto" w:line="240" w:beforeAutospacing="0" w:before="0" w:afterAutospacing="0" w:after="0"/>
      <w:ind w:left="0" w:right="0" w:hanging="0"/>
      <w:jc w:val="left"/>
    </w:pPr>
    <w:rPr>
      <w:rFonts w:ascii="Times New Roman" w:hAnsi="Times New Roman"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it-IT" w:eastAsia="zh-CN" w:bidi="hi-IN"/>
      <w14:textOutline>
        <w14:noFill/>
      </w14:textOutline>
      <w14:textFill>
        <w14:solidFill>
          <w14:srgbClr w14:val="000000"/>
        </w14:solidFill>
      </w14:textFill>
    </w:rPr>
  </w:style>
  <w:style w:type="paragraph" w:styleId="Titolo8">
    <w:name w:val="Heading 8"/>
    <w:next w:val="Normal"/>
    <w:qFormat/>
    <w:pPr>
      <w:keepNext w:val="true"/>
      <w:keepLines w:val="false"/>
      <w:pageBreakBefore w:val="false"/>
      <w:widowControl/>
      <w:shd w:val="clear" w:color="auto" w:fill="auto"/>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uppressAutoHyphens w:val="true"/>
      <w:bidi w:val="0"/>
      <w:spacing w:lineRule="auto" w:line="360" w:beforeAutospacing="0" w:before="0" w:afterAutospacing="0" w:after="0"/>
      <w:ind w:left="1440" w:right="0" w:hanging="1440"/>
      <w:jc w:val="both"/>
      <w:outlineLvl w:val="2"/>
    </w:pPr>
    <w:rPr>
      <w:rFonts w:ascii="Arial" w:hAnsi="Arial" w:eastAsia="Arial Unicode MS" w:cs="Arial Unicode MS"/>
      <w:b/>
      <w:bCs/>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000000"/>
      <w:shd w:fill="auto" w:val="clear"/>
      <w:vertAlign w:val="baseline"/>
      <w:lang w:val="it-IT" w:eastAsia="zh-CN" w:bidi="hi-IN"/>
      <w14:textFill>
        <w14:solidFill>
          <w14:srgbClr w14:val="000000"/>
        </w14:solidFill>
      </w14:textFill>
    </w:rPr>
  </w:style>
  <w:style w:type="character" w:styleId="DefaultParagraphFont" w:default="1">
    <w:name w:val="Default Paragraph Font"/>
    <w:qFormat/>
    <w:rPr/>
  </w:style>
  <w:style w:type="character" w:styleId="CollegamentoInternet">
    <w:name w:val="Collegamento Internet"/>
    <w:rPr>
      <w:u w:val="single" w:color="FFFFFF"/>
    </w:rPr>
  </w:style>
  <w:style w:type="character" w:styleId="Nessuno">
    <w:name w:val="Nessuno"/>
    <w:qFormat/>
    <w:rPr/>
  </w:style>
  <w:style w:type="character" w:styleId="Hyperlink0">
    <w:name w:val="Hyperlink.0"/>
    <w:basedOn w:val="Nessuno"/>
    <w:qFormat/>
    <w:rPr>
      <w:rFonts w:ascii="Arial" w:hAnsi="Arial" w:eastAsia="Arial" w:cs="Arial"/>
      <w:outline w:val="false"/>
      <w:color w:val="000000"/>
      <w:sz w:val="16"/>
      <w:szCs w:val="16"/>
      <w:u w:val="none" w:color="000000"/>
      <w14:textFill>
        <w14:solidFill>
          <w14:srgbClr w14:val="000000"/>
        </w14:solidFill>
      </w14:textFill>
    </w:rPr>
  </w:style>
  <w:style w:type="character" w:styleId="Hyperlink1">
    <w:name w:val="Hyperlink.1"/>
    <w:basedOn w:val="Nessuno"/>
    <w:qFormat/>
    <w:rPr>
      <w:rFonts w:ascii="Arial" w:hAnsi="Arial" w:eastAsia="Arial" w:cs="Arial"/>
      <w:outline w:val="false"/>
      <w:color w:val="000080"/>
      <w:sz w:val="16"/>
      <w:szCs w:val="16"/>
      <w:u w:val="single" w:color="000080"/>
      <w14:textFill>
        <w14:solidFill>
          <w14:srgbClr w14:val="000080"/>
        </w14:solidFill>
      </w14:textFill>
    </w:rPr>
  </w:style>
  <w:style w:type="character" w:styleId="ListLabel1">
    <w:name w:val="ListLabel 1"/>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2">
    <w:name w:val="ListLabel 2"/>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3">
    <w:name w:val="ListLabel 3"/>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4">
    <w:name w:val="ListLabel 4"/>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5">
    <w:name w:val="ListLabel 5"/>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6">
    <w:name w:val="ListLabel 6"/>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
    <w:name w:val="ListLabel 7"/>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8">
    <w:name w:val="ListLabel 8"/>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9">
    <w:name w:val="ListLabel 9"/>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0">
    <w:name w:val="ListLabel 10"/>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2"/>
      <w:sz w:val="22"/>
      <w:vertAlign w:val="baseline"/>
    </w:rPr>
  </w:style>
  <w:style w:type="character" w:styleId="ListLabel11">
    <w:name w:val="ListLabel 11"/>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
    <w:name w:val="ListLabel 12"/>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3">
    <w:name w:val="ListLabel 13"/>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4">
    <w:name w:val="ListLabel 14"/>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5">
    <w:name w:val="ListLabel 15"/>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
    <w:name w:val="ListLabel 16"/>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7">
    <w:name w:val="ListLabel 17"/>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8">
    <w:name w:val="ListLabel 18"/>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
    <w:name w:val="ListLabel 19"/>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0">
    <w:name w:val="ListLabel 20"/>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1">
    <w:name w:val="ListLabel 21"/>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2">
    <w:name w:val="ListLabel 22"/>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3">
    <w:name w:val="ListLabel 23"/>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4">
    <w:name w:val="ListLabel 24"/>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5">
    <w:name w:val="ListLabel 25"/>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6">
    <w:name w:val="ListLabel 26"/>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7">
    <w:name w:val="ListLabel 27"/>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28">
    <w:name w:val="ListLabel 28"/>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29">
    <w:name w:val="ListLabel 29"/>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0">
    <w:name w:val="ListLabel 30"/>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1">
    <w:name w:val="ListLabel 31"/>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2">
    <w:name w:val="ListLabel 32"/>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3">
    <w:name w:val="ListLabel 33"/>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4">
    <w:name w:val="ListLabel 34"/>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5">
    <w:name w:val="ListLabel 35"/>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6">
    <w:name w:val="ListLabel 36"/>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7">
    <w:name w:val="ListLabel 3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8">
    <w:name w:val="ListLabel 38"/>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39">
    <w:name w:val="ListLabel 39"/>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0">
    <w:name w:val="ListLabel 40"/>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1">
    <w:name w:val="ListLabel 41"/>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2">
    <w:name w:val="ListLabel 42"/>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3">
    <w:name w:val="ListLabel 4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4">
    <w:name w:val="ListLabel 44"/>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5">
    <w:name w:val="ListLabel 45"/>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6">
    <w:name w:val="ListLabel 4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47">
    <w:name w:val="ListLabel 47"/>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8">
    <w:name w:val="ListLabel 48"/>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49">
    <w:name w:val="ListLabel 49"/>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0">
    <w:name w:val="ListLabel 50"/>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1">
    <w:name w:val="ListLabel 51"/>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2">
    <w:name w:val="ListLabel 5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3">
    <w:name w:val="ListLabel 53"/>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4">
    <w:name w:val="ListLabel 54"/>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5">
    <w:name w:val="ListLabel 55"/>
    <w:qFormat/>
    <w:rPr>
      <w:rFonts w:ascii="Arial" w:hAnsi="Arial"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56">
    <w:name w:val="ListLabel 56"/>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7">
    <w:name w:val="ListLabel 57"/>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8">
    <w:name w:val="ListLabel 58"/>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59">
    <w:name w:val="ListLabel 59"/>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60">
    <w:name w:val="ListLabel 60"/>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61">
    <w:name w:val="ListLabel 61"/>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62">
    <w:name w:val="ListLabel 62"/>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63">
    <w:name w:val="ListLabel 63"/>
    <w:qFormat/>
    <w:rPr>
      <w:rFonts w:eastAsia="Times New Roman"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64">
    <w:name w:val="ListLabel 64"/>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65">
    <w:name w:val="ListLabel 65"/>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66">
    <w:name w:val="ListLabel 66"/>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67">
    <w:name w:val="ListLabel 67"/>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68">
    <w:name w:val="ListLabel 68"/>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69">
    <w:name w:val="ListLabel 69"/>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0">
    <w:name w:val="ListLabel 70"/>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1">
    <w:name w:val="ListLabel 71"/>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2">
    <w:name w:val="ListLabel 72"/>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3">
    <w:name w:val="ListLabel 73"/>
    <w:qFormat/>
    <w:rPr>
      <w:lang w:val="it-IT"/>
    </w:rPr>
  </w:style>
  <w:style w:type="character" w:styleId="ListLabel74">
    <w:name w:val="ListLabel 74"/>
    <w:qFormat/>
    <w:rPr/>
  </w:style>
  <w:style w:type="character" w:styleId="ListLabel75">
    <w:name w:val="ListLabel 75"/>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2"/>
      <w:sz w:val="22"/>
      <w:vertAlign w:val="baseline"/>
    </w:rPr>
  </w:style>
  <w:style w:type="character" w:styleId="ListLabel76">
    <w:name w:val="ListLabel 76"/>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7">
    <w:name w:val="ListLabel 77"/>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8">
    <w:name w:val="ListLabel 78"/>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79">
    <w:name w:val="ListLabel 79"/>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80">
    <w:name w:val="ListLabel 80"/>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81">
    <w:name w:val="ListLabel 81"/>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82">
    <w:name w:val="ListLabel 82"/>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83">
    <w:name w:val="ListLabel 83"/>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84">
    <w:name w:val="ListLabel 84"/>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85">
    <w:name w:val="ListLabel 85"/>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86">
    <w:name w:val="ListLabel 86"/>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87">
    <w:name w:val="ListLabel 87"/>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88">
    <w:name w:val="ListLabel 88"/>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89">
    <w:name w:val="ListLabel 89"/>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0">
    <w:name w:val="ListLabel 90"/>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1">
    <w:name w:val="ListLabel 91"/>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2">
    <w:name w:val="ListLabel 92"/>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3">
    <w:name w:val="ListLabel 93"/>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94">
    <w:name w:val="ListLabel 94"/>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5">
    <w:name w:val="ListLabel 95"/>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6">
    <w:name w:val="ListLabel 96"/>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7">
    <w:name w:val="ListLabel 97"/>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8">
    <w:name w:val="ListLabel 98"/>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99">
    <w:name w:val="ListLabel 99"/>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0">
    <w:name w:val="ListLabel 100"/>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1">
    <w:name w:val="ListLabel 101"/>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2">
    <w:name w:val="ListLabel 102"/>
    <w:qFormat/>
    <w:rPr>
      <w:rFonts w:ascii="Arial" w:hAnsi="Arial" w:cs="Times New Roman"/>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103">
    <w:name w:val="ListLabel 103"/>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4">
    <w:name w:val="ListLabel 104"/>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5">
    <w:name w:val="ListLabel 105"/>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6">
    <w:name w:val="ListLabel 106"/>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7">
    <w:name w:val="ListLabel 107"/>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8">
    <w:name w:val="ListLabel 108"/>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09">
    <w:name w:val="ListLabel 109"/>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10">
    <w:name w:val="ListLabel 110"/>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11">
    <w:name w:val="ListLabel 111"/>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2">
    <w:name w:val="ListLabel 112"/>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3">
    <w:name w:val="ListLabel 113"/>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4">
    <w:name w:val="ListLabel 114"/>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5">
    <w:name w:val="ListLabel 115"/>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6">
    <w:name w:val="ListLabel 116"/>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7">
    <w:name w:val="ListLabel 117"/>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8">
    <w:name w:val="ListLabel 118"/>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9">
    <w:name w:val="ListLabel 119"/>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0">
    <w:name w:val="ListLabel 120"/>
    <w:qFormat/>
    <w:rPr>
      <w:lang w:val="it-IT"/>
    </w:rPr>
  </w:style>
  <w:style w:type="character" w:styleId="ListLabel121">
    <w:name w:val="ListLabel 121"/>
    <w:qFormat/>
    <w:rPr/>
  </w:style>
  <w:style w:type="character" w:styleId="ListLabel122">
    <w:name w:val="ListLabel 122"/>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2"/>
      <w:sz w:val="22"/>
      <w:vertAlign w:val="baseline"/>
    </w:rPr>
  </w:style>
  <w:style w:type="character" w:styleId="ListLabel123">
    <w:name w:val="ListLabel 123"/>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4">
    <w:name w:val="ListLabel 124"/>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5">
    <w:name w:val="ListLabel 125"/>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6">
    <w:name w:val="ListLabel 126"/>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7">
    <w:name w:val="ListLabel 127"/>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8">
    <w:name w:val="ListLabel 128"/>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29">
    <w:name w:val="ListLabel 129"/>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30">
    <w:name w:val="ListLabel 130"/>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31">
    <w:name w:val="ListLabel 131"/>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132">
    <w:name w:val="ListLabel 132"/>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33">
    <w:name w:val="ListLabel 133"/>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34">
    <w:name w:val="ListLabel 134"/>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35">
    <w:name w:val="ListLabel 135"/>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36">
    <w:name w:val="ListLabel 136"/>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37">
    <w:name w:val="ListLabel 137"/>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38">
    <w:name w:val="ListLabel 138"/>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39">
    <w:name w:val="ListLabel 139"/>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0">
    <w:name w:val="ListLabel 140"/>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141">
    <w:name w:val="ListLabel 141"/>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2">
    <w:name w:val="ListLabel 142"/>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3">
    <w:name w:val="ListLabel 143"/>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4">
    <w:name w:val="ListLabel 144"/>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5">
    <w:name w:val="ListLabel 145"/>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6">
    <w:name w:val="ListLabel 146"/>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7">
    <w:name w:val="ListLabel 147"/>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8">
    <w:name w:val="ListLabel 148"/>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49">
    <w:name w:val="ListLabel 149"/>
    <w:qFormat/>
    <w:rPr>
      <w:rFonts w:ascii="Arial" w:hAnsi="Arial" w:cs="Times New Roman"/>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150">
    <w:name w:val="ListLabel 150"/>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1">
    <w:name w:val="ListLabel 151"/>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2">
    <w:name w:val="ListLabel 152"/>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3">
    <w:name w:val="ListLabel 153"/>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4">
    <w:name w:val="ListLabel 154"/>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5">
    <w:name w:val="ListLabel 155"/>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6">
    <w:name w:val="ListLabel 156"/>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7">
    <w:name w:val="ListLabel 157"/>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58">
    <w:name w:val="ListLabel 158"/>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59">
    <w:name w:val="ListLabel 159"/>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0">
    <w:name w:val="ListLabel 160"/>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1">
    <w:name w:val="ListLabel 161"/>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2">
    <w:name w:val="ListLabel 162"/>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3">
    <w:name w:val="ListLabel 163"/>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4">
    <w:name w:val="ListLabel 164"/>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5">
    <w:name w:val="ListLabel 165"/>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6">
    <w:name w:val="ListLabel 166"/>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67">
    <w:name w:val="ListLabel 167"/>
    <w:qFormat/>
    <w:rPr>
      <w:lang w:val="it-IT"/>
    </w:rPr>
  </w:style>
  <w:style w:type="character" w:styleId="ListLabel168">
    <w:name w:val="ListLabel 168"/>
    <w:qFormat/>
    <w:rPr/>
  </w:style>
  <w:style w:type="character" w:styleId="WW8Num2z0">
    <w:name w:val="WW8Num2z0"/>
    <w:qFormat/>
    <w:rPr>
      <w:rFonts w:ascii="Wingdings" w:hAnsi="Wingdings" w:cs="Wingdings"/>
      <w:sz w:val="22"/>
    </w:rPr>
  </w:style>
  <w:style w:type="character" w:styleId="WW8Num3z0">
    <w:name w:val="WW8Num3z0"/>
    <w:qFormat/>
    <w:rPr>
      <w:rFonts w:ascii="Times New Roman" w:hAnsi="Times New Roman" w:cs="Times New Roman"/>
    </w:rPr>
  </w:style>
  <w:style w:type="character" w:styleId="ListLabel169">
    <w:name w:val="ListLabel 169"/>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170">
    <w:name w:val="ListLabel 170"/>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1">
    <w:name w:val="ListLabel 171"/>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2">
    <w:name w:val="ListLabel 172"/>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3">
    <w:name w:val="ListLabel 173"/>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4">
    <w:name w:val="ListLabel 174"/>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5">
    <w:name w:val="ListLabel 175"/>
    <w:qFormat/>
    <w:rPr>
      <w:rFonts w:cs="Symbol"/>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6">
    <w:name w:val="ListLabel 176"/>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7">
    <w:name w:val="ListLabel 177"/>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78">
    <w:name w:val="ListLabel 178"/>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2"/>
      <w:sz w:val="22"/>
      <w:szCs w:val="24"/>
      <w:vertAlign w:val="baseline"/>
    </w:rPr>
  </w:style>
  <w:style w:type="character" w:styleId="ListLabel179">
    <w:name w:val="ListLabel 179"/>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0">
    <w:name w:val="ListLabel 180"/>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1">
    <w:name w:val="ListLabel 181"/>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2">
    <w:name w:val="ListLabel 182"/>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3">
    <w:name w:val="ListLabel 183"/>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4">
    <w:name w:val="ListLabel 184"/>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5">
    <w:name w:val="ListLabel 185"/>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6">
    <w:name w:val="ListLabel 186"/>
    <w:qFormat/>
    <w:rPr>
      <w:rFonts w:cs="Times New Roman"/>
      <w:b w:val="false"/>
      <w:bCs w:val="false"/>
      <w:i w:val="false"/>
      <w:iCs w:val="false"/>
      <w:caps w:val="false"/>
      <w:smallCaps w:val="false"/>
      <w:strike w:val="false"/>
      <w:dstrike w:val="false"/>
      <w:outline w:val="false"/>
      <w:emboss w:val="false"/>
      <w:imprint w:val="false"/>
      <w:spacing w:val="0"/>
      <w:w w:val="100"/>
      <w:kern w:val="0"/>
      <w:position w:val="0"/>
      <w:sz w:val="24"/>
      <w:sz w:val="24"/>
      <w:szCs w:val="24"/>
      <w:vertAlign w:val="baseline"/>
    </w:rPr>
  </w:style>
  <w:style w:type="character" w:styleId="ListLabel187">
    <w:name w:val="ListLabel 187"/>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88">
    <w:name w:val="ListLabel 188"/>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89">
    <w:name w:val="ListLabel 189"/>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0">
    <w:name w:val="ListLabel 190"/>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1">
    <w:name w:val="ListLabel 191"/>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2">
    <w:name w:val="ListLabel 192"/>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3">
    <w:name w:val="ListLabel 193"/>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4">
    <w:name w:val="ListLabel 194"/>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5">
    <w:name w:val="ListLabel 195"/>
    <w:qFormat/>
    <w:rPr>
      <w:rFonts w:cs="Arial Unicode MS"/>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96">
    <w:name w:val="ListLabel 196"/>
    <w:qFormat/>
    <w:rPr>
      <w:rFonts w:ascii="Arial" w:hAnsi="Arial" w:cs="Times New Roman"/>
      <w:sz w:val="22"/>
    </w:rPr>
  </w:style>
  <w:style w:type="character" w:styleId="ListLabel197">
    <w:name w:val="ListLabel 197"/>
    <w:qFormat/>
    <w:rPr>
      <w:lang w:val="it-IT"/>
    </w:rPr>
  </w:style>
  <w:style w:type="character" w:styleId="ListLabel198">
    <w:name w:val="ListLabel 198"/>
    <w:qFormat/>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pPr>
      <w:keepNext w:val="false"/>
      <w:keepLines w:val="false"/>
      <w:pageBreakBefore w:val="false"/>
      <w:widowControl/>
      <w:shd w:val="clear" w:color="auto" w:fill="auto"/>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uppressAutoHyphens w:val="true"/>
      <w:bidi w:val="0"/>
      <w:spacing w:lineRule="atLeast" w:line="480" w:beforeAutospacing="0" w:before="0" w:afterAutospacing="0" w:after="0"/>
      <w:ind w:left="0" w:right="0" w:hanging="0"/>
      <w:jc w:val="both"/>
    </w:pPr>
    <w:rPr>
      <w:rFonts w:ascii="Arial" w:hAnsi="Arial" w:eastAsia="Arial" w:cs="Arial"/>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it-IT" w:eastAsia="zh-CN" w:bidi="hi-IN"/>
      <w14:textFill>
        <w14:solidFill>
          <w14:srgbClr w14:val="000000"/>
        </w14:solidFill>
      </w14:textFill>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Intestazioneepidipagina">
    <w:name w:val="Intestazione e piè di pagina"/>
    <w:qFormat/>
    <w:pPr>
      <w:keepNext w:val="false"/>
      <w:keepLines w:val="false"/>
      <w:pageBreakBefore w:val="false"/>
      <w:widowControl/>
      <w:shd w:val="clear" w:color="auto" w:fill="auto"/>
      <w:tabs>
        <w:tab w:val="clear" w:pos="708"/>
        <w:tab w:val="right" w:pos="9020" w:leader="none"/>
      </w:tabs>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it-IT" w:eastAsia="zh-CN" w:bidi="hi-IN"/>
      <w14:textOutline>
        <w14:noFill/>
      </w14:textOutline>
      <w14:textFill>
        <w14:solidFill>
          <w14:srgbClr w14:val="000000"/>
        </w14:solidFill>
      </w14:textFill>
    </w:rPr>
  </w:style>
  <w:style w:type="paragraph" w:styleId="Pidipagina">
    <w:name w:val="Footer"/>
    <w:pPr>
      <w:keepNext w:val="false"/>
      <w:keepLines w:val="false"/>
      <w:pageBreakBefore w:val="false"/>
      <w:widowControl/>
      <w:shd w:val="clear" w:color="auto" w:fill="auto"/>
      <w:tabs>
        <w:tab w:val="clear" w:pos="708"/>
        <w:tab w:val="center" w:pos="4819" w:leader="none"/>
        <w:tab w:val="right" w:pos="9638" w:leader="none"/>
      </w:tabs>
      <w:suppressAutoHyphens w:val="true"/>
      <w:bidi w:val="0"/>
      <w:spacing w:lineRule="auto" w:line="240" w:beforeAutospacing="0" w:before="0" w:afterAutospacing="0" w:after="0"/>
      <w:ind w:left="0" w:right="0" w:hanging="0"/>
      <w:jc w:val="left"/>
    </w:pPr>
    <w:rPr>
      <w:rFonts w:ascii="Times New Roman" w:hAnsi="Times New Roman"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it-IT" w:eastAsia="zh-CN" w:bidi="hi-IN"/>
      <w14:textFill>
        <w14:solidFill>
          <w14:srgbClr w14:val="000000"/>
        </w14:solidFill>
      </w14:textFill>
    </w:rPr>
  </w:style>
  <w:style w:type="paragraph" w:styleId="Intestazione">
    <w:name w:val="Header"/>
    <w:pPr>
      <w:keepNext w:val="false"/>
      <w:keepLines w:val="false"/>
      <w:pageBreakBefore w:val="false"/>
      <w:widowControl/>
      <w:shd w:val="clear" w:color="auto" w:fill="auto"/>
      <w:tabs>
        <w:tab w:val="clear" w:pos="708"/>
        <w:tab w:val="center" w:pos="4819" w:leader="none"/>
        <w:tab w:val="right" w:pos="9638" w:leader="none"/>
      </w:tabs>
      <w:suppressAutoHyphens w:val="true"/>
      <w:bidi w:val="0"/>
      <w:spacing w:lineRule="auto" w:line="240" w:beforeAutospacing="0" w:before="0" w:afterAutospacing="0" w:after="0"/>
      <w:ind w:left="0" w:right="0" w:hanging="0"/>
      <w:jc w:val="left"/>
    </w:pPr>
    <w:rPr>
      <w:rFonts w:ascii="Times New Roman" w:hAnsi="Times New Roman"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it-IT" w:eastAsia="zh-CN" w:bidi="hi-IN"/>
      <w14:textOutline>
        <w14:noFill/>
      </w14:textOutline>
      <w14:textFill>
        <w14:solidFill>
          <w14:srgbClr w14:val="000000"/>
        </w14:solidFill>
      </w14:textFill>
    </w:rPr>
  </w:style>
  <w:style w:type="paragraph" w:styleId="Corpodeltesto3">
    <w:name w:val="Corpo del testo 3"/>
    <w:qFormat/>
    <w:pPr>
      <w:keepNext w:val="false"/>
      <w:keepLines w:val="false"/>
      <w:pageBreakBefore w:val="false"/>
      <w:widowControl/>
      <w:shd w:val="clear" w:color="auto" w:fill="auto"/>
      <w:tabs>
        <w:tab w:val="clear" w:pos="708"/>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uppressAutoHyphens w:val="true"/>
      <w:bidi w:val="0"/>
      <w:spacing w:lineRule="atLeast" w:line="260" w:beforeAutospacing="0" w:before="0" w:afterAutospacing="0" w:after="0"/>
      <w:ind w:left="0" w:right="0" w:hanging="0"/>
      <w:jc w:val="both"/>
    </w:pPr>
    <w:rPr>
      <w:rFonts w:ascii="Arial" w:hAnsi="Arial"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000000"/>
      <w:shd w:fill="auto" w:val="clear"/>
      <w:vertAlign w:val="baseline"/>
      <w:lang w:val="it-IT" w:eastAsia="zh-CN" w:bidi="hi-IN"/>
      <w14:textFill>
        <w14:solidFill>
          <w14:srgbClr w14:val="000000"/>
        </w14:solidFill>
      </w14:textFill>
    </w:rPr>
  </w:style>
  <w:style w:type="numbering" w:styleId="NoList" w:default="1">
    <w:name w:val="No List"/>
    <w:qFormat/>
  </w:style>
  <w:style w:type="numbering" w:styleId="Stileimportato2">
    <w:name w:val="Stile importato 2"/>
    <w:qFormat/>
  </w:style>
  <w:style w:type="numbering" w:styleId="Stileimportato3">
    <w:name w:val="Stile importato 3"/>
    <w:qFormat/>
  </w:style>
  <w:style w:type="numbering" w:styleId="Stileimportato4">
    <w:name w:val="Stile importato 4"/>
    <w:qFormat/>
  </w:style>
  <w:style w:type="numbering" w:styleId="WW8Num2">
    <w:name w:val="WW8Num2"/>
    <w:qFormat/>
  </w:style>
  <w:style w:type="numbering" w:styleId="WW8Num3">
    <w:name w:val="WW8Num3"/>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yperlink" Target="mailto:dpo-team@lepida.it" TargetMode="External"/><Relationship Id="rId5" Type="http://schemas.openxmlformats.org/officeDocument/2006/relationships/hyperlink" Target="mailto:privacy@comune.re.it" TargetMode="External"/><Relationship Id="rId6" Type="http://schemas.openxmlformats.org/officeDocument/2006/relationships/hyperlink" Target="mailto:comune.reggioemilia@pec.municipio.re.it" TargetMode="External"/><Relationship Id="rId7" Type="http://schemas.openxmlformats.org/officeDocument/2006/relationships/hyperlink" Target=""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38</TotalTime>
  <Application>LibreOffice/6.2.2.2$Windows_X86_64 LibreOffice_project/2b840030fec2aae0fd2658d8d4f9548af4e3518d</Application>
  <Pages>7</Pages>
  <Words>3403</Words>
  <Characters>20415</Characters>
  <CharactersWithSpaces>23748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it-IT</dc:language>
  <cp:lastModifiedBy/>
  <dcterms:modified xsi:type="dcterms:W3CDTF">2020-11-23T15:51:54Z</dcterms:modified>
  <cp:revision>18</cp:revision>
  <dc:subject/>
  <dc:title/>
</cp:coreProperties>
</file>