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ind w:right="-82" w:hanging="0"/>
        <w:jc w:val="both"/>
        <w:rPr>
          <w:rFonts w:ascii="Courier New" w:hAnsi="Courier New" w:cs="Courier New"/>
          <w:b/>
          <w:b/>
          <w:sz w:val="24"/>
          <w:szCs w:val="24"/>
        </w:rPr>
      </w:pPr>
      <w:r>
        <w:rPr>
          <w:rFonts w:cs="Courier New" w:ascii="Courier New" w:hAnsi="Courier New"/>
          <w:b/>
          <w:sz w:val="24"/>
          <w:szCs w:val="24"/>
        </w:rPr>
      </w:r>
    </w:p>
    <w:p>
      <w:pPr>
        <w:pStyle w:val="Normal"/>
        <w:spacing w:before="120" w:after="120"/>
        <w:ind w:right="-82" w:hanging="0"/>
        <w:jc w:val="both"/>
        <w:rPr>
          <w:rFonts w:ascii="Courier New" w:hAnsi="Courier New" w:cs="Courier New"/>
          <w:b/>
          <w:b/>
          <w:sz w:val="24"/>
          <w:szCs w:val="24"/>
        </w:rPr>
      </w:pPr>
      <w:r>
        <w:rPr>
          <w:rFonts w:cs="Courier New" w:ascii="Courier New" w:hAnsi="Courier New"/>
          <w:b/>
          <w:sz w:val="24"/>
          <w:szCs w:val="24"/>
        </w:rPr>
        <w:t>ALLEGATO 2)</w:t>
      </w:r>
    </w:p>
    <w:p>
      <w:pPr>
        <w:pStyle w:val="Normal"/>
        <w:spacing w:before="120" w:after="120"/>
        <w:ind w:right="-82" w:hanging="0"/>
        <w:jc w:val="center"/>
        <w:rPr>
          <w:rFonts w:ascii="Courier New" w:hAnsi="Courier New" w:cs="Courier New"/>
          <w:sz w:val="24"/>
          <w:szCs w:val="24"/>
        </w:rPr>
      </w:pPr>
      <w:r>
        <w:rPr>
          <w:rFonts w:cs="Courier New" w:ascii="Courier New" w:hAnsi="Courier New"/>
          <w:b/>
          <w:sz w:val="24"/>
          <w:szCs w:val="24"/>
        </w:rPr>
        <w:t>SCHEMA DI CONVENZIONE PER L'ATTUAZIONE DEGLI INTERVENTI DI CUI ALL'ACCORDO GECO 10</w:t>
      </w:r>
    </w:p>
    <w:p>
      <w:pPr>
        <w:pStyle w:val="Normal"/>
        <w:spacing w:before="120" w:after="120"/>
        <w:ind w:right="-82" w:hanging="0"/>
        <w:jc w:val="center"/>
        <w:rPr>
          <w:rFonts w:ascii="Courier New" w:hAnsi="Courier New" w:cs="Courier New"/>
          <w:sz w:val="24"/>
          <w:szCs w:val="24"/>
        </w:rPr>
      </w:pPr>
      <w:r>
        <w:rPr>
          <w:rFonts w:cs="Courier New" w:ascii="Courier New" w:hAnsi="Courier New"/>
          <w:sz w:val="24"/>
          <w:szCs w:val="24"/>
        </w:rPr>
        <w:t>TRA</w:t>
      </w:r>
      <w:r>
        <w:rPr>
          <w:rFonts w:cs="Courier New" w:ascii="Courier New" w:hAnsi="Courier New"/>
          <w:b/>
          <w:color w:val="0000FF"/>
          <w:sz w:val="24"/>
          <w:szCs w:val="24"/>
        </w:rPr>
        <w:t xml:space="preserve"> </w:t>
      </w:r>
    </w:p>
    <w:p>
      <w:pPr>
        <w:pStyle w:val="Normal"/>
        <w:spacing w:before="120" w:after="120"/>
        <w:ind w:right="-82" w:hanging="0"/>
        <w:jc w:val="center"/>
        <w:rPr>
          <w:rFonts w:ascii="Courier New" w:hAnsi="Courier New" w:cs="Courier New"/>
          <w:sz w:val="24"/>
          <w:szCs w:val="24"/>
        </w:rPr>
      </w:pPr>
      <w:r>
        <w:rPr>
          <w:rFonts w:cs="Courier New" w:ascii="Courier New" w:hAnsi="Courier New"/>
          <w:sz w:val="24"/>
          <w:szCs w:val="24"/>
        </w:rPr>
      </w:r>
    </w:p>
    <w:p>
      <w:pPr>
        <w:pStyle w:val="Normal"/>
        <w:spacing w:before="120" w:after="120"/>
        <w:ind w:right="-82" w:hanging="0"/>
        <w:jc w:val="both"/>
        <w:textAlignment w:val="baseline"/>
        <w:rPr/>
      </w:pPr>
      <w:r>
        <w:rPr>
          <w:rFonts w:cs="Courier New" w:ascii="Courier New" w:hAnsi="Courier New"/>
          <w:kern w:val="2"/>
          <w:sz w:val="24"/>
          <w:szCs w:val="24"/>
        </w:rPr>
        <w:t>REGIONE EMILIA-ROMAGNA, rappresentata dal Dirigente del Servizio Cultura e Giovani Gianni Cottafavi, nato a ………... il 29.12.1965, come stabilito dalla deliberazione della Giunta regionale n. 982 del 3/08/2020;</w:t>
      </w:r>
    </w:p>
    <w:p>
      <w:pPr>
        <w:pStyle w:val="Normal"/>
        <w:spacing w:before="120" w:after="120"/>
        <w:ind w:right="-82" w:hanging="0"/>
        <w:jc w:val="center"/>
        <w:textAlignment w:val="baseline"/>
        <w:rPr>
          <w:rFonts w:ascii="Courier New" w:hAnsi="Courier New" w:cs="Courier New"/>
          <w:kern w:val="2"/>
          <w:sz w:val="24"/>
          <w:szCs w:val="24"/>
        </w:rPr>
      </w:pPr>
      <w:r>
        <w:rPr>
          <w:rFonts w:cs="Courier New" w:ascii="Courier New" w:hAnsi="Courier New"/>
          <w:kern w:val="2"/>
          <w:sz w:val="24"/>
          <w:szCs w:val="24"/>
        </w:rPr>
        <w:t>e</w:t>
      </w:r>
    </w:p>
    <w:p>
      <w:pPr>
        <w:pStyle w:val="Normal"/>
        <w:widowControl/>
        <w:tabs>
          <w:tab w:val="clear" w:pos="708"/>
          <w:tab w:val="left" w:pos="390" w:leader="none"/>
        </w:tabs>
        <w:spacing w:before="120" w:after="120"/>
        <w:ind w:right="-57" w:hanging="0"/>
        <w:jc w:val="both"/>
        <w:textAlignment w:val="baseline"/>
        <w:rPr>
          <w:rFonts w:ascii="Courier New" w:hAnsi="Courier New" w:cs="Courier New"/>
          <w:kern w:val="2"/>
          <w:sz w:val="24"/>
          <w:szCs w:val="24"/>
        </w:rPr>
      </w:pPr>
      <w:r>
        <w:rPr>
          <w:rFonts w:cs="Courier New" w:ascii="Courier New" w:hAnsi="Courier New"/>
          <w:kern w:val="2"/>
          <w:sz w:val="24"/>
          <w:szCs w:val="24"/>
        </w:rPr>
        <w:t>COMUNE DI REGGIO EMILIA, rappresentato dal dirigente ad interim del Servizio Officina Educativa Dott. Roberto Montagnani nato a …………… il 20/09/1966, domiciliato per la carica in P.zza Prampolini n.1, Reggio Emilia, autorizzato con</w:t>
      </w:r>
      <w:r>
        <w:rPr>
          <w:rFonts w:eastAsia="Trebuchet MS" w:cs="Courier New" w:ascii="Courier New" w:hAnsi="Courier New"/>
          <w:color w:val="000000"/>
          <w:kern w:val="2"/>
          <w:sz w:val="24"/>
          <w:szCs w:val="24"/>
        </w:rPr>
        <w:t xml:space="preserve"> </w:t>
      </w:r>
      <w:r>
        <w:rPr>
          <w:rFonts w:eastAsia="Arial" w:cs="Arial" w:ascii="Courier New" w:hAnsi="Courier New"/>
          <w:bCs/>
          <w:iCs/>
          <w:color w:val="000000"/>
          <w:kern w:val="2"/>
          <w:sz w:val="24"/>
          <w:szCs w:val="24"/>
          <w:lang w:eastAsia="ar-SA"/>
        </w:rPr>
        <w:t xml:space="preserve">provvedimento del Sindaco pg. n. 106555 del 29.06.2020, </w:t>
      </w:r>
      <w:r>
        <w:rPr>
          <w:rFonts w:cs="Courier New" w:ascii="Courier New" w:hAnsi="Courier New"/>
          <w:kern w:val="2"/>
          <w:sz w:val="24"/>
          <w:szCs w:val="24"/>
        </w:rPr>
        <w:t>che agisce in nome e per conto dello stesso Comune di Reggio Emilia;</w:t>
      </w:r>
    </w:p>
    <w:p>
      <w:pPr>
        <w:pStyle w:val="Normal"/>
        <w:ind w:right="-82" w:hanging="0"/>
        <w:jc w:val="both"/>
        <w:rPr>
          <w:rFonts w:ascii="Courier New" w:hAnsi="Courier New" w:cs="Courier New"/>
          <w:sz w:val="24"/>
          <w:szCs w:val="24"/>
        </w:rPr>
      </w:pPr>
      <w:r>
        <w:rPr>
          <w:rFonts w:cs="Courier New" w:ascii="Courier New" w:hAnsi="Courier New"/>
          <w:sz w:val="24"/>
          <w:szCs w:val="24"/>
        </w:rPr>
      </w:r>
    </w:p>
    <w:p>
      <w:pPr>
        <w:pStyle w:val="Normal"/>
        <w:ind w:right="-82" w:hanging="0"/>
        <w:jc w:val="both"/>
        <w:rPr>
          <w:rFonts w:ascii="Courier New" w:hAnsi="Courier New" w:cs="Courier New"/>
          <w:sz w:val="24"/>
          <w:szCs w:val="24"/>
        </w:rPr>
      </w:pPr>
      <w:r>
        <w:rPr>
          <w:rFonts w:cs="Courier New" w:ascii="Courier New" w:hAnsi="Courier New"/>
          <w:sz w:val="24"/>
          <w:szCs w:val="24"/>
        </w:rPr>
        <w:t xml:space="preserve">Premesso che: </w:t>
      </w:r>
    </w:p>
    <w:p>
      <w:pPr>
        <w:pStyle w:val="Normal"/>
        <w:widowControl/>
        <w:numPr>
          <w:ilvl w:val="0"/>
          <w:numId w:val="1"/>
        </w:numPr>
        <w:tabs>
          <w:tab w:val="clear" w:pos="708"/>
          <w:tab w:val="left" w:pos="709" w:leader="none"/>
        </w:tabs>
        <w:spacing w:lineRule="auto" w:line="240" w:before="120" w:after="120"/>
        <w:jc w:val="both"/>
        <w:textAlignment w:val="baseline"/>
        <w:rPr>
          <w:rFonts w:ascii="Courier New" w:hAnsi="Courier New" w:eastAsia="Times New Roman" w:cs="Courier New"/>
          <w:kern w:val="0"/>
          <w:sz w:val="24"/>
          <w:szCs w:val="24"/>
          <w:lang w:eastAsia="ar-SA"/>
        </w:rPr>
      </w:pPr>
      <w:r>
        <w:rPr>
          <w:rFonts w:eastAsia="Times New Roman" w:cs="Courier New" w:ascii="Courier New" w:hAnsi="Courier New"/>
          <w:kern w:val="0"/>
          <w:sz w:val="24"/>
          <w:szCs w:val="24"/>
          <w:lang w:eastAsia="ar-SA"/>
        </w:rPr>
        <w:t>in sede di Conferenza Unificata Rep. 12/CU, in data 29 Gennaio 2020 è stata sancita l’Intesa tra il Governo, le Regioni e Province Autonome di Trento e Bolzano e gli Enti locali, ai sensi dell’articolo 8, comma 6, della legge 5 giugno 2003, n. 131, (di seguito denominata “Intesa”) sulla ripartizione per l’anno 2019 del “Fondo nazionale per le politiche giovanili di cui all’art. 19, comma 2, del decreto legge 4 luglio 2006, n. 223, convertito, con modificazioni, dalla legge 4 agosto 2006, n. 248";</w:t>
      </w:r>
    </w:p>
    <w:p>
      <w:pPr>
        <w:pStyle w:val="Normal"/>
        <w:widowControl/>
        <w:numPr>
          <w:ilvl w:val="0"/>
          <w:numId w:val="1"/>
        </w:numPr>
        <w:spacing w:lineRule="auto" w:line="240"/>
        <w:jc w:val="both"/>
        <w:textAlignment w:val="baseline"/>
        <w:rPr>
          <w:rFonts w:ascii="Courier New" w:hAnsi="Courier New" w:eastAsia="Times New Roman" w:cs="Courier New"/>
          <w:kern w:val="0"/>
          <w:sz w:val="24"/>
          <w:szCs w:val="24"/>
          <w:lang w:eastAsia="ar-SA"/>
        </w:rPr>
      </w:pPr>
      <w:r>
        <w:rPr>
          <w:rFonts w:eastAsia="Times New Roman" w:cs="Courier New" w:ascii="Courier New" w:hAnsi="Courier New"/>
          <w:kern w:val="0"/>
          <w:sz w:val="24"/>
          <w:szCs w:val="24"/>
          <w:lang w:eastAsia="ar-SA"/>
        </w:rPr>
        <w:t>Il decreto del Ministro per le politiche giovanili e lo sport in data 4 febbraio 2020, recante “Riparto delle risorse finanziarie del Fondo nazionale per le politiche giovanili per l’anno 2020”, registrato dalla Corte dei conti in data 19 marzo 2020, al n. 488 e, in particolare, l’art. 3, comma 1, che, in attuazione dell’Intesa, ha provveduto al riparto del “Fondo per le politiche giovanili per l’anno 2020”, assegnando alle Regioni ed alle Province Autonome risorse per un ammontare complessivo di euro</w:t>
      </w:r>
      <w:r>
        <w:rPr/>
        <w:t xml:space="preserve"> </w:t>
      </w:r>
      <w:r>
        <w:rPr>
          <w:rFonts w:eastAsia="Times New Roman" w:cs="Courier New" w:ascii="Courier New" w:hAnsi="Courier New"/>
          <w:kern w:val="0"/>
          <w:sz w:val="24"/>
          <w:szCs w:val="24"/>
          <w:lang w:eastAsia="ar-SA"/>
        </w:rPr>
        <w:t>8.725.127,00;</w:t>
      </w:r>
    </w:p>
    <w:p>
      <w:pPr>
        <w:pStyle w:val="Normal"/>
        <w:widowControl/>
        <w:numPr>
          <w:ilvl w:val="0"/>
          <w:numId w:val="1"/>
        </w:numPr>
        <w:tabs>
          <w:tab w:val="clear" w:pos="708"/>
          <w:tab w:val="left" w:pos="709" w:leader="none"/>
        </w:tabs>
        <w:spacing w:lineRule="auto" w:line="240" w:before="120" w:after="120"/>
        <w:jc w:val="both"/>
        <w:textAlignment w:val="baseline"/>
        <w:rPr>
          <w:rFonts w:ascii="Courier New" w:hAnsi="Courier New" w:eastAsia="Times New Roman" w:cs="Courier New"/>
          <w:kern w:val="0"/>
          <w:sz w:val="24"/>
          <w:szCs w:val="24"/>
          <w:lang w:eastAsia="ar-SA"/>
        </w:rPr>
      </w:pPr>
      <w:r>
        <w:rPr>
          <w:rFonts w:eastAsia="Times New Roman" w:cs="Courier New" w:ascii="Courier New" w:hAnsi="Courier New"/>
          <w:kern w:val="0"/>
          <w:sz w:val="24"/>
          <w:szCs w:val="24"/>
          <w:lang w:eastAsia="ar-SA"/>
        </w:rPr>
        <w:t>l'Accordo di collaborazione, in attuazione della predetta Intesa, siglato digitalmente, ai sensi dell'art. 15 della Legge 7 agosto 1990 n. 241, nostro RPI n.493 del 18/11/2020, che disciplina le modalità di realizzazione delle attività - anche in collaborazione con altri Enti, tramite sottoscrizione di specifiche convenzioni e il monitoraggio semestrale dell’iniziativa regionale, a seguito dell'approvazione della suddetta proposta progettuale (GECO 10 – Giovani evoluti e consapevoli) tra il Dipartimento della Gioventù e del Servizio Civile Nazionale della Presidenza del Consiglio del Ministri e la Regione Emilia-Romagna;</w:t>
      </w:r>
    </w:p>
    <w:p>
      <w:pPr>
        <w:pStyle w:val="Normal"/>
        <w:widowControl/>
        <w:numPr>
          <w:ilvl w:val="0"/>
          <w:numId w:val="1"/>
        </w:numPr>
        <w:tabs>
          <w:tab w:val="clear" w:pos="708"/>
          <w:tab w:val="left" w:pos="709" w:leader="none"/>
        </w:tabs>
        <w:spacing w:lineRule="auto" w:line="240" w:before="120" w:after="120"/>
        <w:jc w:val="both"/>
        <w:textAlignment w:val="baseline"/>
        <w:rPr>
          <w:rFonts w:ascii="Courier New" w:hAnsi="Courier New" w:eastAsia="Times New Roman" w:cs="Courier New"/>
          <w:kern w:val="0"/>
          <w:sz w:val="24"/>
          <w:szCs w:val="24"/>
          <w:lang w:eastAsia="ar-SA"/>
        </w:rPr>
      </w:pPr>
      <w:r>
        <w:rPr>
          <w:rFonts w:eastAsia="Times New Roman" w:cs="Courier New" w:ascii="Courier New" w:hAnsi="Courier New"/>
          <w:kern w:val="0"/>
          <w:sz w:val="24"/>
          <w:szCs w:val="24"/>
          <w:lang w:eastAsia="ar-SA"/>
        </w:rPr>
        <w:t>a seguito della registrazione del decreto di approvazione del sopracitato Accordo di collaborazione, in data 20 novembre 2020 con ordine al n. 3664, il Dipartimento per le Politiche Giovanili e il Servizio civile universale della Presidenza del Consiglio dei Ministri ha provveduto ad impegnare contabilmente, a favore di codesta Regione, a valere sull'Esercizio Finanziario 2019, l'importo di € 617.739,00;</w:t>
      </w:r>
    </w:p>
    <w:p>
      <w:pPr>
        <w:pStyle w:val="Normal"/>
        <w:widowControl/>
        <w:numPr>
          <w:ilvl w:val="0"/>
          <w:numId w:val="1"/>
        </w:numPr>
        <w:tabs>
          <w:tab w:val="clear" w:pos="708"/>
          <w:tab w:val="left" w:pos="709" w:leader="none"/>
        </w:tabs>
        <w:spacing w:lineRule="auto" w:line="259" w:before="120" w:after="160"/>
        <w:jc w:val="both"/>
        <w:textAlignment w:val="baseline"/>
        <w:rPr>
          <w:rFonts w:ascii="Courier New" w:hAnsi="Courier New" w:eastAsia="Times New Roman" w:cs="Courier New"/>
          <w:kern w:val="0"/>
          <w:sz w:val="24"/>
          <w:szCs w:val="24"/>
          <w:lang w:eastAsia="ar-SA"/>
        </w:rPr>
      </w:pPr>
      <w:r>
        <w:rPr>
          <w:rFonts w:eastAsia="Times New Roman" w:cs="Courier New" w:ascii="Courier New" w:hAnsi="Courier New"/>
          <w:kern w:val="0"/>
          <w:sz w:val="24"/>
          <w:szCs w:val="24"/>
          <w:lang w:eastAsia="ar-SA"/>
        </w:rPr>
        <w:t xml:space="preserve">il D. Lgs. 196/2003 “Codice in materia di protezione dei dati personali” come modificato dal D.Lgs. 101/2018 nonché il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w:t>
      </w:r>
    </w:p>
    <w:p>
      <w:pPr>
        <w:pStyle w:val="Normal"/>
        <w:tabs>
          <w:tab w:val="clear" w:pos="708"/>
          <w:tab w:val="left" w:pos="709" w:leader="none"/>
        </w:tabs>
        <w:spacing w:lineRule="auto" w:line="252" w:before="120" w:after="160"/>
        <w:ind w:left="360" w:hanging="0"/>
        <w:jc w:val="both"/>
        <w:rPr>
          <w:rFonts w:ascii="Courier New" w:hAnsi="Courier New" w:cs="Courier New"/>
          <w:sz w:val="24"/>
          <w:szCs w:val="24"/>
        </w:rPr>
      </w:pPr>
      <w:r>
        <w:rPr>
          <w:rFonts w:cs="Courier New" w:ascii="Courier New" w:hAnsi="Courier New"/>
          <w:sz w:val="24"/>
          <w:szCs w:val="24"/>
        </w:rPr>
        <w:t>Dato atto che:</w:t>
      </w:r>
    </w:p>
    <w:p>
      <w:pPr>
        <w:pStyle w:val="Normal"/>
        <w:numPr>
          <w:ilvl w:val="0"/>
          <w:numId w:val="2"/>
        </w:numPr>
        <w:suppressAutoHyphens w:val="false"/>
        <w:spacing w:lineRule="auto" w:line="252" w:before="0" w:after="240"/>
        <w:jc w:val="both"/>
        <w:rPr>
          <w:rFonts w:ascii="Courier New" w:hAnsi="Courier New" w:cs="Courier New"/>
          <w:sz w:val="24"/>
          <w:szCs w:val="24"/>
        </w:rPr>
      </w:pPr>
      <w:r>
        <w:rPr>
          <w:rFonts w:cs="Courier New" w:ascii="Courier New" w:hAnsi="Courier New"/>
          <w:sz w:val="24"/>
          <w:szCs w:val="24"/>
        </w:rPr>
        <w:t>la Giunta della Regione Emilia-Romagna, con propria deliberazione n. 1237/2021 ha dato attuazione all’interventi sulla base di quanto indicato nell’Accordo medesimo e in particolare nella Relazione tecnica e nella scheda/intervento;</w:t>
      </w:r>
    </w:p>
    <w:p>
      <w:pPr>
        <w:pStyle w:val="Normal"/>
        <w:numPr>
          <w:ilvl w:val="0"/>
          <w:numId w:val="2"/>
        </w:numPr>
        <w:suppressAutoHyphens w:val="false"/>
        <w:spacing w:lineRule="auto" w:line="252" w:before="0" w:after="240"/>
        <w:jc w:val="both"/>
        <w:rPr>
          <w:rFonts w:ascii="Courier New" w:hAnsi="Courier New" w:cs="Courier New"/>
          <w:sz w:val="24"/>
          <w:szCs w:val="24"/>
        </w:rPr>
      </w:pPr>
      <w:r>
        <w:rPr>
          <w:rFonts w:cs="Courier New" w:ascii="Courier New" w:hAnsi="Courier New"/>
          <w:sz w:val="24"/>
          <w:szCs w:val="24"/>
        </w:rPr>
        <w:t xml:space="preserve">con la succitata deliberazione, n. 1237/2021 è stato altresì approvato lo schema della presente convenzione per disciplinare la collaborazione fra la Regione e i singoli soggetti coinvolti nell’attuazione degli interventi; </w:t>
      </w:r>
    </w:p>
    <w:p>
      <w:pPr>
        <w:pStyle w:val="Normal"/>
        <w:spacing w:before="120" w:after="120"/>
        <w:ind w:right="-82" w:hanging="0"/>
        <w:jc w:val="both"/>
        <w:rPr>
          <w:rFonts w:ascii="Courier New" w:hAnsi="Courier New" w:cs="Courier New"/>
          <w:sz w:val="24"/>
          <w:szCs w:val="24"/>
        </w:rPr>
      </w:pPr>
      <w:r>
        <w:rPr>
          <w:rFonts w:cs="Courier New" w:ascii="Courier New" w:hAnsi="Courier New"/>
          <w:sz w:val="24"/>
          <w:szCs w:val="24"/>
        </w:rPr>
        <w:t>Tutto ciò premesso e considerato;</w:t>
      </w:r>
    </w:p>
    <w:p>
      <w:pPr>
        <w:pStyle w:val="Normal"/>
        <w:spacing w:before="120" w:after="120"/>
        <w:ind w:left="2124" w:right="-82" w:firstLine="708"/>
        <w:jc w:val="both"/>
        <w:rPr>
          <w:rFonts w:ascii="Courier New" w:hAnsi="Courier New" w:cs="Courier New"/>
          <w:sz w:val="24"/>
          <w:szCs w:val="24"/>
        </w:rPr>
      </w:pPr>
      <w:r>
        <w:rPr>
          <w:rFonts w:cs="Courier New" w:ascii="Courier New" w:hAnsi="Courier New"/>
          <w:sz w:val="24"/>
          <w:szCs w:val="24"/>
        </w:rPr>
        <w:t>tra la Regione Emilia-Romagna</w:t>
      </w:r>
    </w:p>
    <w:p>
      <w:pPr>
        <w:pStyle w:val="Normal"/>
        <w:spacing w:before="120" w:after="120"/>
        <w:ind w:right="-82" w:hanging="0"/>
        <w:jc w:val="center"/>
        <w:rPr>
          <w:rFonts w:ascii="Courier New" w:hAnsi="Courier New" w:cs="Courier New"/>
          <w:sz w:val="24"/>
          <w:szCs w:val="24"/>
        </w:rPr>
      </w:pPr>
      <w:r>
        <w:rPr>
          <w:rFonts w:cs="Courier New" w:ascii="Courier New" w:hAnsi="Courier New"/>
          <w:sz w:val="24"/>
          <w:szCs w:val="24"/>
        </w:rPr>
        <w:t>e</w:t>
      </w:r>
    </w:p>
    <w:p>
      <w:pPr>
        <w:pStyle w:val="Normal"/>
        <w:spacing w:before="120" w:after="120"/>
        <w:ind w:right="-82" w:hanging="0"/>
        <w:jc w:val="center"/>
        <w:rPr>
          <w:rFonts w:ascii="Courier New" w:hAnsi="Courier New" w:cs="Courier New"/>
          <w:sz w:val="24"/>
          <w:szCs w:val="24"/>
        </w:rPr>
      </w:pPr>
      <w:r>
        <w:rPr>
          <w:rFonts w:cs="Courier New" w:ascii="Courier New" w:hAnsi="Courier New"/>
          <w:sz w:val="24"/>
          <w:szCs w:val="24"/>
        </w:rPr>
        <w:t>Comune di Reggio Emilia</w:t>
      </w:r>
    </w:p>
    <w:p>
      <w:pPr>
        <w:pStyle w:val="Normal"/>
        <w:spacing w:before="120" w:after="120"/>
        <w:ind w:right="-82" w:hanging="0"/>
        <w:jc w:val="center"/>
        <w:rPr>
          <w:rFonts w:ascii="Courier New" w:hAnsi="Courier New" w:cs="Courier New"/>
          <w:sz w:val="24"/>
          <w:szCs w:val="24"/>
        </w:rPr>
      </w:pPr>
      <w:r>
        <w:rPr>
          <w:rFonts w:cs="Courier New" w:ascii="Courier New" w:hAnsi="Courier New"/>
          <w:sz w:val="24"/>
          <w:szCs w:val="24"/>
        </w:rPr>
      </w:r>
    </w:p>
    <w:p>
      <w:pPr>
        <w:pStyle w:val="Normal"/>
        <w:spacing w:before="120" w:after="120"/>
        <w:ind w:right="-82" w:hanging="0"/>
        <w:jc w:val="both"/>
        <w:rPr>
          <w:rFonts w:ascii="Courier New" w:hAnsi="Courier New" w:cs="Courier New"/>
          <w:sz w:val="24"/>
          <w:szCs w:val="24"/>
        </w:rPr>
      </w:pPr>
      <w:r>
        <w:rPr>
          <w:rFonts w:cs="Courier New" w:ascii="Courier New" w:hAnsi="Courier New"/>
          <w:sz w:val="24"/>
          <w:szCs w:val="24"/>
        </w:rPr>
        <w:t>Si conviene e si stipula quanto segue:</w:t>
      </w:r>
    </w:p>
    <w:p>
      <w:pPr>
        <w:pStyle w:val="Normal"/>
        <w:spacing w:before="120" w:after="120"/>
        <w:ind w:right="-82" w:hanging="0"/>
        <w:jc w:val="center"/>
        <w:rPr>
          <w:rFonts w:ascii="Courier New" w:hAnsi="Courier New" w:cs="Courier New"/>
          <w:b/>
          <w:b/>
          <w:sz w:val="24"/>
          <w:szCs w:val="24"/>
        </w:rPr>
      </w:pPr>
      <w:r>
        <w:rPr>
          <w:rFonts w:cs="Courier New" w:ascii="Courier New" w:hAnsi="Courier New"/>
          <w:b/>
          <w:sz w:val="24"/>
          <w:szCs w:val="24"/>
        </w:rPr>
      </w:r>
    </w:p>
    <w:p>
      <w:pPr>
        <w:pStyle w:val="Normal"/>
        <w:spacing w:before="120" w:after="120"/>
        <w:ind w:right="-82" w:hanging="0"/>
        <w:jc w:val="center"/>
        <w:rPr>
          <w:rFonts w:ascii="Courier New" w:hAnsi="Courier New" w:cs="Courier New"/>
          <w:b/>
          <w:b/>
          <w:sz w:val="24"/>
          <w:szCs w:val="24"/>
        </w:rPr>
      </w:pPr>
      <w:r>
        <w:rPr>
          <w:rFonts w:cs="Courier New" w:ascii="Courier New" w:hAnsi="Courier New"/>
          <w:b/>
          <w:sz w:val="24"/>
          <w:szCs w:val="24"/>
        </w:rPr>
        <w:t xml:space="preserve">ART. 1 </w:t>
      </w:r>
    </w:p>
    <w:p>
      <w:pPr>
        <w:pStyle w:val="Normal"/>
        <w:spacing w:before="120" w:after="120"/>
        <w:ind w:right="-82" w:hanging="0"/>
        <w:jc w:val="center"/>
        <w:rPr>
          <w:rFonts w:ascii="Courier New" w:hAnsi="Courier New" w:cs="Courier New"/>
          <w:b/>
          <w:b/>
          <w:sz w:val="24"/>
          <w:szCs w:val="24"/>
        </w:rPr>
      </w:pPr>
      <w:r>
        <w:rPr>
          <w:rFonts w:cs="Courier New" w:ascii="Courier New" w:hAnsi="Courier New"/>
          <w:b/>
          <w:sz w:val="24"/>
          <w:szCs w:val="24"/>
        </w:rPr>
        <w:t>Oggetto</w:t>
      </w:r>
    </w:p>
    <w:p>
      <w:pPr>
        <w:pStyle w:val="Normal"/>
        <w:widowControl/>
        <w:numPr>
          <w:ilvl w:val="0"/>
          <w:numId w:val="3"/>
        </w:numPr>
        <w:suppressAutoHyphens w:val="false"/>
        <w:spacing w:lineRule="auto" w:line="240" w:before="120" w:after="120"/>
        <w:ind w:left="720" w:right="-82" w:hanging="360"/>
        <w:jc w:val="both"/>
        <w:rPr/>
      </w:pPr>
      <w:r>
        <w:rPr>
          <w:rFonts w:cs="Courier New" w:ascii="Courier New" w:hAnsi="Courier New"/>
          <w:sz w:val="24"/>
          <w:szCs w:val="24"/>
        </w:rPr>
        <w:t>La Regione Emilia-Romagna (di seguito indicata come Regione) e il Comune di Reggio Emilia sottoscrivono la presente convenzione per l’attuazione</w:t>
      </w:r>
      <w:r>
        <w:rPr>
          <w:rFonts w:cs="Courier New" w:ascii="Courier New" w:hAnsi="Courier New"/>
          <w:color w:val="0000FF"/>
          <w:sz w:val="24"/>
          <w:szCs w:val="24"/>
        </w:rPr>
        <w:t xml:space="preserve"> </w:t>
      </w:r>
      <w:r>
        <w:rPr>
          <w:rFonts w:cs="Courier New" w:ascii="Courier New" w:hAnsi="Courier New"/>
          <w:color w:val="000000"/>
          <w:sz w:val="24"/>
          <w:szCs w:val="24"/>
        </w:rPr>
        <w:t xml:space="preserve">degli interventi di cui alla Scheda 1: “Partecipazione inclusiva” e alla Scheda 3 </w:t>
      </w:r>
      <w:bookmarkStart w:id="0" w:name="__DdeLink__427_3146060004"/>
      <w:r>
        <w:rPr>
          <w:rFonts w:cs="Courier New" w:ascii="Courier New" w:hAnsi="Courier New"/>
          <w:color w:val="000000"/>
          <w:sz w:val="24"/>
          <w:szCs w:val="24"/>
        </w:rPr>
        <w:t>“Disseminazione di buone pratiche, finalizzate alla prevenzione del disagio giovanile”</w:t>
      </w:r>
      <w:bookmarkEnd w:id="0"/>
      <w:r>
        <w:rPr>
          <w:rFonts w:cs="Courier New" w:ascii="Courier New" w:hAnsi="Courier New"/>
          <w:color w:val="000000"/>
          <w:sz w:val="24"/>
          <w:szCs w:val="24"/>
        </w:rPr>
        <w:t xml:space="preserve"> previsti nell’Accordo “GECO 10- </w:t>
      </w:r>
      <w:r>
        <w:rPr>
          <w:rFonts w:cs="Courier New" w:ascii="Courier New" w:hAnsi="Courier New"/>
          <w:i/>
          <w:iCs/>
          <w:color w:val="000000"/>
          <w:sz w:val="24"/>
          <w:szCs w:val="24"/>
        </w:rPr>
        <w:t>Giovani Evoluti e Co</w:t>
      </w:r>
      <w:r>
        <w:rPr>
          <w:rFonts w:cs="Courier New" w:ascii="Courier New" w:hAnsi="Courier New"/>
          <w:i/>
          <w:iCs/>
          <w:sz w:val="24"/>
          <w:szCs w:val="24"/>
        </w:rPr>
        <w:t>nsapevoli</w:t>
      </w:r>
      <w:r>
        <w:rPr>
          <w:rFonts w:cs="Courier New" w:ascii="Courier New" w:hAnsi="Courier New"/>
          <w:sz w:val="24"/>
          <w:szCs w:val="24"/>
        </w:rPr>
        <w:t xml:space="preserve">” (di seguito </w:t>
      </w:r>
      <w:r>
        <w:rPr>
          <w:rFonts w:cs="Courier New" w:ascii="Courier New" w:hAnsi="Courier New"/>
          <w:i/>
          <w:iCs/>
          <w:sz w:val="24"/>
          <w:szCs w:val="24"/>
        </w:rPr>
        <w:t>GECO 10</w:t>
      </w:r>
      <w:r>
        <w:rPr>
          <w:rFonts w:cs="Courier New" w:ascii="Courier New" w:hAnsi="Courier New"/>
          <w:sz w:val="24"/>
          <w:szCs w:val="24"/>
        </w:rPr>
        <w:t>).</w:t>
      </w:r>
    </w:p>
    <w:p>
      <w:pPr>
        <w:pStyle w:val="Normal"/>
        <w:widowControl/>
        <w:numPr>
          <w:ilvl w:val="0"/>
          <w:numId w:val="3"/>
        </w:numPr>
        <w:suppressAutoHyphens w:val="false"/>
        <w:spacing w:lineRule="auto" w:line="240" w:before="120" w:after="120"/>
        <w:ind w:left="720" w:right="-82" w:hanging="360"/>
        <w:jc w:val="both"/>
        <w:rPr/>
      </w:pPr>
      <w:r>
        <w:rPr>
          <w:rFonts w:cs="Courier New" w:ascii="Courier New" w:hAnsi="Courier New"/>
          <w:sz w:val="24"/>
          <w:szCs w:val="24"/>
        </w:rPr>
        <w:t xml:space="preserve">gli interventi, di cui al comma 1, in coerenza con quanto indicato nella schede/intervento contenute nella Relazione Tecnica dell’APQ </w:t>
      </w:r>
      <w:r>
        <w:rPr>
          <w:rFonts w:cs="Courier New" w:ascii="Courier New" w:hAnsi="Courier New"/>
          <w:i/>
          <w:iCs/>
          <w:sz w:val="24"/>
          <w:szCs w:val="24"/>
        </w:rPr>
        <w:t>GECO 10</w:t>
      </w:r>
      <w:r>
        <w:rPr>
          <w:rFonts w:cs="Courier New" w:ascii="Courier New" w:hAnsi="Courier New"/>
          <w:sz w:val="24"/>
          <w:szCs w:val="24"/>
        </w:rPr>
        <w:t>, viene</w:t>
      </w:r>
      <w:r>
        <w:rPr>
          <w:rFonts w:cs="Courier New" w:ascii="Courier New" w:hAnsi="Courier New"/>
          <w:color w:val="FF0000"/>
          <w:sz w:val="24"/>
          <w:szCs w:val="24"/>
        </w:rPr>
        <w:t xml:space="preserve"> </w:t>
      </w:r>
      <w:r>
        <w:rPr>
          <w:rFonts w:cs="Courier New" w:ascii="Courier New" w:hAnsi="Courier New"/>
          <w:sz w:val="24"/>
          <w:szCs w:val="24"/>
        </w:rPr>
        <w:t>meglio specificato e riassunto nei punti seguenti:</w:t>
      </w:r>
    </w:p>
    <w:p>
      <w:pPr>
        <w:pStyle w:val="Normal"/>
        <w:widowControl/>
        <w:suppressAutoHyphens w:val="false"/>
        <w:spacing w:lineRule="auto" w:line="240" w:before="120" w:after="120"/>
        <w:ind w:left="720" w:right="-82" w:hanging="0"/>
        <w:jc w:val="both"/>
        <w:rPr>
          <w:rFonts w:ascii="Courier New" w:hAnsi="Courier New" w:cs="Courier New"/>
          <w:sz w:val="24"/>
          <w:szCs w:val="24"/>
        </w:rPr>
      </w:pPr>
      <w:r>
        <w:rPr>
          <w:rFonts w:cs="Courier New" w:ascii="Courier New" w:hAnsi="Courier New"/>
          <w:sz w:val="24"/>
          <w:szCs w:val="24"/>
        </w:rPr>
      </w:r>
    </w:p>
    <w:p>
      <w:pPr>
        <w:pStyle w:val="Normal"/>
        <w:widowControl/>
        <w:suppressAutoHyphens w:val="false"/>
        <w:spacing w:lineRule="auto" w:line="240" w:before="120" w:after="120"/>
        <w:ind w:right="-82" w:hanging="0"/>
        <w:jc w:val="both"/>
        <w:rPr>
          <w:color w:val="0000FF"/>
        </w:rPr>
      </w:pPr>
      <w:r>
        <w:rPr>
          <w:rFonts w:cs="Courier New" w:ascii="Courier New" w:hAnsi="Courier New"/>
          <w:b/>
          <w:bCs/>
          <w:color w:val="000000"/>
          <w:sz w:val="24"/>
          <w:szCs w:val="24"/>
        </w:rPr>
        <w:t>Linea di azione 1, “Partecipazione Inclusiva”</w:t>
      </w:r>
    </w:p>
    <w:p>
      <w:pPr>
        <w:pStyle w:val="Normal"/>
        <w:widowControl/>
        <w:suppressAutoHyphens w:val="false"/>
        <w:spacing w:lineRule="auto" w:line="240" w:before="120" w:after="120"/>
        <w:ind w:right="-82" w:hanging="0"/>
        <w:jc w:val="both"/>
        <w:rPr>
          <w:b w:val="false"/>
          <w:b w:val="false"/>
          <w:bCs w:val="false"/>
          <w:color w:val="0000FF"/>
        </w:rPr>
      </w:pPr>
      <w:r>
        <w:rPr>
          <w:rFonts w:cs="Courier New" w:ascii="Courier New" w:hAnsi="Courier New"/>
          <w:b w:val="false"/>
          <w:bCs w:val="false"/>
          <w:color w:val="000000"/>
          <w:sz w:val="24"/>
          <w:szCs w:val="24"/>
        </w:rPr>
        <w:t>La linea di azione 1 “Partecipazione inclusiva” prevede due azioni progettuali, ciascuna delle quali si sviluppa attraverso successivi step</w:t>
      </w:r>
    </w:p>
    <w:p>
      <w:pPr>
        <w:pStyle w:val="Normal"/>
        <w:widowControl/>
        <w:suppressAutoHyphens w:val="false"/>
        <w:spacing w:lineRule="auto" w:line="240" w:before="120" w:after="120"/>
        <w:ind w:right="-82" w:hanging="0"/>
        <w:jc w:val="both"/>
        <w:rPr>
          <w:rFonts w:ascii="Courier New" w:hAnsi="Courier New" w:cs="Courier New"/>
          <w:color w:val="000000"/>
          <w:sz w:val="24"/>
          <w:szCs w:val="24"/>
        </w:rPr>
      </w:pPr>
      <w:r>
        <w:rPr>
          <w:rFonts w:cs="Courier New" w:ascii="Courier New" w:hAnsi="Courier New"/>
          <w:color w:val="000000"/>
          <w:sz w:val="24"/>
          <w:szCs w:val="24"/>
        </w:rPr>
      </w:r>
    </w:p>
    <w:p>
      <w:pPr>
        <w:pStyle w:val="Normal"/>
        <w:widowControl/>
        <w:suppressAutoHyphens w:val="false"/>
        <w:spacing w:lineRule="auto" w:line="240" w:before="120" w:after="120"/>
        <w:ind w:right="-82" w:hanging="0"/>
        <w:jc w:val="both"/>
        <w:rPr>
          <w:b w:val="false"/>
          <w:b w:val="false"/>
          <w:bCs w:val="false"/>
          <w:color w:val="0000FF"/>
        </w:rPr>
      </w:pPr>
      <w:r>
        <w:rPr>
          <w:rFonts w:cs="Courier New" w:ascii="Courier New" w:hAnsi="Courier New"/>
          <w:b w:val="false"/>
          <w:bCs w:val="false"/>
          <w:color w:val="000000"/>
          <w:sz w:val="24"/>
          <w:szCs w:val="24"/>
        </w:rPr>
        <w:t>Azione A: Educazione alla rappresentanza</w:t>
      </w:r>
    </w:p>
    <w:p>
      <w:pPr>
        <w:pStyle w:val="Normal"/>
        <w:spacing w:before="120" w:after="120"/>
        <w:ind w:right="-82" w:hanging="0"/>
        <w:jc w:val="both"/>
        <w:rPr>
          <w:rFonts w:ascii="Courier New" w:hAnsi="Courier New" w:cs="Courier New"/>
          <w:color w:val="000000"/>
          <w:sz w:val="24"/>
          <w:szCs w:val="24"/>
        </w:rPr>
      </w:pPr>
      <w:r>
        <w:rPr>
          <w:rFonts w:cs="Courier New" w:ascii="Courier New" w:hAnsi="Courier New"/>
          <w:color w:val="000000"/>
          <w:sz w:val="24"/>
          <w:szCs w:val="24"/>
        </w:rPr>
      </w:r>
    </w:p>
    <w:p>
      <w:pPr>
        <w:pStyle w:val="Normal"/>
        <w:spacing w:before="120" w:after="120"/>
        <w:ind w:right="-82" w:hanging="0"/>
        <w:jc w:val="both"/>
        <w:rPr>
          <w:color w:val="000000"/>
        </w:rPr>
      </w:pPr>
      <w:r>
        <w:rPr>
          <w:rFonts w:cs="Courier New" w:ascii="Courier New" w:hAnsi="Courier New"/>
          <w:color w:val="000000"/>
          <w:sz w:val="24"/>
          <w:szCs w:val="24"/>
        </w:rPr>
        <w:t xml:space="preserve">Obiettivi: </w:t>
      </w:r>
    </w:p>
    <w:p>
      <w:pPr>
        <w:pStyle w:val="ListParagraph"/>
        <w:numPr>
          <w:ilvl w:val="0"/>
          <w:numId w:val="10"/>
        </w:numPr>
        <w:jc w:val="both"/>
        <w:rPr>
          <w:color w:val="000000"/>
        </w:rPr>
      </w:pPr>
      <w:r>
        <w:rPr>
          <w:rFonts w:cs="Courier New" w:ascii="Courier New" w:hAnsi="Courier New"/>
          <w:color w:val="000000"/>
          <w:sz w:val="24"/>
          <w:szCs w:val="24"/>
        </w:rPr>
        <w:t xml:space="preserve">promuovere la consapevolezza della rappresentanza studendesca come forma primaria della partecipazione, a tutti i livelli </w:t>
      </w:r>
    </w:p>
    <w:p>
      <w:pPr>
        <w:pStyle w:val="ListParagraph"/>
        <w:numPr>
          <w:ilvl w:val="0"/>
          <w:numId w:val="10"/>
        </w:numPr>
        <w:jc w:val="both"/>
        <w:rPr>
          <w:color w:val="000000"/>
        </w:rPr>
      </w:pPr>
      <w:r>
        <w:rPr>
          <w:rFonts w:cs="Courier New" w:ascii="Courier New" w:hAnsi="Courier New"/>
          <w:strike w:val="false"/>
          <w:dstrike w:val="false"/>
          <w:color w:val="000000"/>
          <w:sz w:val="24"/>
          <w:szCs w:val="24"/>
        </w:rPr>
        <w:t>allargare il confronto sul ruolo della rappresentanza sul piano regionale attraverso la connessione delle consulte studentesche delle diverse province della regione e delle relative scuole di appartenenza, favorendone l’incontro regionale</w:t>
      </w:r>
    </w:p>
    <w:p>
      <w:pPr>
        <w:pStyle w:val="Normal"/>
        <w:widowControl/>
        <w:rPr>
          <w:color w:val="0000FF"/>
        </w:rPr>
      </w:pPr>
      <w:r>
        <w:rPr>
          <w:rFonts w:cs="Courier New" w:ascii="Courier New" w:hAnsi="Courier New"/>
          <w:color w:val="000000"/>
          <w:sz w:val="24"/>
          <w:szCs w:val="24"/>
        </w:rPr>
        <w:t>Step:</w:t>
      </w:r>
    </w:p>
    <w:p>
      <w:pPr>
        <w:pStyle w:val="ListParagraph"/>
        <w:numPr>
          <w:ilvl w:val="0"/>
          <w:numId w:val="11"/>
        </w:numPr>
        <w:rPr>
          <w:color w:val="000000"/>
        </w:rPr>
      </w:pPr>
      <w:r>
        <w:rPr>
          <w:rFonts w:cs="Courier New" w:ascii="Courier New" w:hAnsi="Courier New"/>
          <w:color w:val="000000"/>
          <w:sz w:val="24"/>
          <w:szCs w:val="24"/>
        </w:rPr>
        <w:t xml:space="preserve">attivazione di laboratori di educazione alla rappresentanza rivolti ai rappresentanti di classe, di istituto e di consulta studentesca della città in cui approfondire le norme di riferimento e il ruolo del rappresentante attraverso attività di partecipazione e l’incontro e il confronto operativo con rappresentanti del mondo istituzionale </w:t>
      </w:r>
    </w:p>
    <w:p>
      <w:pPr>
        <w:pStyle w:val="ListParagraph"/>
        <w:numPr>
          <w:ilvl w:val="0"/>
          <w:numId w:val="11"/>
        </w:numPr>
        <w:rPr>
          <w:color w:val="0000FF"/>
        </w:rPr>
      </w:pPr>
      <w:r>
        <w:rPr>
          <w:rFonts w:cs="Courier New" w:ascii="Courier New" w:hAnsi="Courier New"/>
          <w:color w:val="000000"/>
          <w:sz w:val="24"/>
          <w:szCs w:val="24"/>
        </w:rPr>
        <w:t xml:space="preserve">promozione di </w:t>
      </w:r>
      <w:r>
        <w:rPr>
          <w:rFonts w:cs="Courier New" w:ascii="Courier New" w:hAnsi="Courier New"/>
          <w:b w:val="false"/>
          <w:bCs w:val="false"/>
          <w:color w:val="000000"/>
          <w:sz w:val="24"/>
          <w:szCs w:val="24"/>
        </w:rPr>
        <w:t xml:space="preserve">un </w:t>
      </w:r>
      <w:r>
        <w:rPr>
          <w:rFonts w:cs="Courier New" w:ascii="Courier New" w:hAnsi="Courier New"/>
          <w:color w:val="000000"/>
          <w:sz w:val="24"/>
          <w:szCs w:val="24"/>
        </w:rPr>
        <w:t>incontro (online o in presenza)regionale tra i rappresentanti reggiani e le consulte per uno scambio di esperienze formative, tra cui quella del laboratorio, e di altre sviluppate in altri territori (se esistenti)</w:t>
      </w:r>
    </w:p>
    <w:p>
      <w:pPr>
        <w:pStyle w:val="ListParagraph"/>
        <w:numPr>
          <w:ilvl w:val="0"/>
          <w:numId w:val="11"/>
        </w:numPr>
        <w:jc w:val="both"/>
        <w:rPr>
          <w:color w:val="000000"/>
        </w:rPr>
      </w:pPr>
      <w:r>
        <w:rPr>
          <w:rFonts w:cs="Courier New" w:ascii="Courier New" w:hAnsi="Courier New"/>
          <w:color w:val="000000"/>
          <w:sz w:val="24"/>
          <w:szCs w:val="24"/>
        </w:rPr>
        <w:t xml:space="preserve">promozione, insieme ai rappresentanti reggiani, di un incontro delle consulte studentesche della regione </w:t>
      </w:r>
    </w:p>
    <w:p>
      <w:pPr>
        <w:pStyle w:val="ListParagraph"/>
        <w:numPr>
          <w:ilvl w:val="0"/>
          <w:numId w:val="11"/>
        </w:numPr>
        <w:jc w:val="both"/>
        <w:rPr>
          <w:color w:val="000000"/>
        </w:rPr>
      </w:pPr>
      <w:r>
        <w:rPr>
          <w:rFonts w:cs="Courier New" w:ascii="Courier New" w:hAnsi="Courier New"/>
          <w:color w:val="000000"/>
          <w:sz w:val="24"/>
          <w:szCs w:val="24"/>
        </w:rPr>
        <w:t>collaborazione al tavolo delle web radio</w:t>
      </w:r>
    </w:p>
    <w:p>
      <w:pPr>
        <w:pStyle w:val="ListParagraph"/>
        <w:numPr>
          <w:ilvl w:val="0"/>
          <w:numId w:val="0"/>
        </w:numPr>
        <w:ind w:left="1440" w:hanging="0"/>
        <w:jc w:val="both"/>
        <w:rPr>
          <w:rFonts w:ascii="Courier New" w:hAnsi="Courier New" w:cs="Courier New"/>
          <w:b/>
          <w:b/>
          <w:bCs/>
          <w:strike/>
          <w:color w:val="FF0000"/>
          <w:sz w:val="24"/>
          <w:szCs w:val="24"/>
        </w:rPr>
      </w:pPr>
      <w:r>
        <w:rPr>
          <w:rFonts w:cs="Courier New" w:ascii="Courier New" w:hAnsi="Courier New"/>
          <w:b/>
          <w:bCs/>
          <w:strike/>
          <w:color w:val="FF0000"/>
          <w:sz w:val="24"/>
          <w:szCs w:val="24"/>
        </w:rPr>
      </w:r>
    </w:p>
    <w:p>
      <w:pPr>
        <w:pStyle w:val="Normal"/>
        <w:widowControl/>
        <w:suppressAutoHyphens w:val="false"/>
        <w:spacing w:lineRule="auto" w:line="240" w:before="120" w:after="120"/>
        <w:ind w:right="-82" w:hanging="0"/>
        <w:jc w:val="both"/>
        <w:rPr>
          <w:color w:val="0000FF"/>
        </w:rPr>
      </w:pPr>
      <w:r>
        <w:rPr>
          <w:rFonts w:cs="Courier New" w:ascii="Courier New" w:hAnsi="Courier New"/>
          <w:b w:val="false"/>
          <w:bCs w:val="false"/>
          <w:strike w:val="false"/>
          <w:dstrike w:val="false"/>
          <w:color w:val="000000"/>
          <w:sz w:val="24"/>
          <w:szCs w:val="24"/>
          <w:u w:val="none"/>
        </w:rPr>
        <w:t>Azione B: Percorsi formativi di Educazione civica per studenti e docenti</w:t>
      </w:r>
    </w:p>
    <w:p>
      <w:pPr>
        <w:pStyle w:val="Normal"/>
        <w:spacing w:before="120" w:after="120"/>
        <w:ind w:right="-82" w:hanging="0"/>
        <w:jc w:val="both"/>
        <w:rPr>
          <w:rFonts w:ascii="Courier New" w:hAnsi="Courier New" w:cs="Courier New"/>
          <w:color w:val="000000"/>
          <w:sz w:val="24"/>
          <w:szCs w:val="24"/>
        </w:rPr>
      </w:pPr>
      <w:r>
        <w:rPr>
          <w:rFonts w:cs="Courier New" w:ascii="Courier New" w:hAnsi="Courier New"/>
          <w:color w:val="000000"/>
          <w:sz w:val="24"/>
          <w:szCs w:val="24"/>
        </w:rPr>
      </w:r>
    </w:p>
    <w:p>
      <w:pPr>
        <w:pStyle w:val="Normal"/>
        <w:spacing w:before="120" w:after="120"/>
        <w:ind w:right="-82" w:hanging="0"/>
        <w:jc w:val="both"/>
        <w:rPr>
          <w:color w:val="000000"/>
        </w:rPr>
      </w:pPr>
      <w:r>
        <w:rPr>
          <w:rFonts w:cs="Courier New" w:ascii="Courier New" w:hAnsi="Courier New"/>
          <w:color w:val="000000"/>
          <w:sz w:val="24"/>
          <w:szCs w:val="24"/>
        </w:rPr>
        <w:t>Obiettivi:</w:t>
      </w:r>
    </w:p>
    <w:p>
      <w:pPr>
        <w:pStyle w:val="ListParagraph"/>
        <w:numPr>
          <w:ilvl w:val="0"/>
          <w:numId w:val="12"/>
        </w:numPr>
        <w:rPr>
          <w:color w:val="0000FF"/>
        </w:rPr>
      </w:pPr>
      <w:r>
        <w:rPr>
          <w:rFonts w:cs="Courier New" w:ascii="Courier New" w:hAnsi="Courier New"/>
          <w:color w:val="000000"/>
          <w:sz w:val="24"/>
          <w:szCs w:val="24"/>
        </w:rPr>
        <w:t>supportare i docenti nell’insegnamento dell’educazione civica attraverso la proposta di moduli, flessibili nella struttura e</w:t>
      </w:r>
      <w:r>
        <w:rPr>
          <w:rFonts w:cs="Courier New" w:ascii="Courier New" w:hAnsi="Courier New"/>
          <w:color w:val="0000FF"/>
          <w:sz w:val="24"/>
          <w:szCs w:val="24"/>
        </w:rPr>
        <w:t xml:space="preserve"> </w:t>
      </w:r>
      <w:r>
        <w:rPr>
          <w:rFonts w:cs="Courier New" w:ascii="Courier New" w:hAnsi="Courier New"/>
          <w:color w:val="000000"/>
          <w:sz w:val="24"/>
          <w:szCs w:val="24"/>
        </w:rPr>
        <w:t xml:space="preserve">nei contenuti, da attuare all’interno delle classi delle scuole secondarie di secondo grado (biennio e triennio) </w:t>
      </w:r>
    </w:p>
    <w:p>
      <w:pPr>
        <w:pStyle w:val="ListParagraph"/>
        <w:numPr>
          <w:ilvl w:val="0"/>
          <w:numId w:val="12"/>
        </w:numPr>
        <w:rPr>
          <w:color w:val="000000"/>
        </w:rPr>
      </w:pPr>
      <w:r>
        <w:rPr>
          <w:rFonts w:eastAsia="Times New Roman" w:cs="Courier New" w:ascii="Courier New" w:hAnsi="Courier New"/>
          <w:color w:val="000000"/>
          <w:kern w:val="2"/>
          <w:sz w:val="24"/>
          <w:szCs w:val="24"/>
        </w:rPr>
        <w:t xml:space="preserve">favorire la formazione dei docenti delle scuole secondarie di secondo grado della regione per l’insegnamento dell’educazione civica da un punto di vista metodologico e in ottica di confronto e scambio </w:t>
      </w:r>
    </w:p>
    <w:p>
      <w:pPr>
        <w:pStyle w:val="Normal"/>
        <w:rPr>
          <w:color w:val="0000FF"/>
        </w:rPr>
      </w:pPr>
      <w:r>
        <w:rPr>
          <w:rFonts w:cs="Courier New" w:ascii="Courier New" w:hAnsi="Courier New"/>
          <w:color w:val="000000"/>
          <w:sz w:val="24"/>
          <w:szCs w:val="24"/>
        </w:rPr>
        <w:t>Step:</w:t>
      </w:r>
    </w:p>
    <w:p>
      <w:pPr>
        <w:pStyle w:val="ListParagraph"/>
        <w:numPr>
          <w:ilvl w:val="0"/>
          <w:numId w:val="12"/>
        </w:numPr>
        <w:rPr>
          <w:rFonts w:ascii="Courier New" w:hAnsi="Courier New" w:cs="Courier New"/>
          <w:sz w:val="24"/>
          <w:szCs w:val="24"/>
        </w:rPr>
      </w:pPr>
      <w:r>
        <w:rPr>
          <w:rFonts w:cs="Courier New" w:ascii="Courier New" w:hAnsi="Courier New"/>
          <w:color w:val="000000"/>
          <w:sz w:val="24"/>
          <w:szCs w:val="24"/>
        </w:rPr>
        <w:t>estendere su più scuole della città i moduli di educazione civica nei tre ambiti di riferimento – Costituzione, Cittadinanza digitale, Sostenibilità ambientale - sperimentati durante il precedente anno scolastico in un istituto superiore, utilizzando la metodologia dei Laboratori di cittadinanza,</w:t>
      </w:r>
    </w:p>
    <w:p>
      <w:pPr>
        <w:pStyle w:val="ListParagraph"/>
        <w:numPr>
          <w:ilvl w:val="0"/>
          <w:numId w:val="12"/>
        </w:numPr>
        <w:rPr>
          <w:color w:val="000000"/>
        </w:rPr>
      </w:pPr>
      <w:r>
        <w:rPr>
          <w:rFonts w:cs="Courier New" w:ascii="Courier New" w:hAnsi="Courier New"/>
          <w:color w:val="000000"/>
          <w:sz w:val="24"/>
          <w:szCs w:val="24"/>
        </w:rPr>
        <w:t xml:space="preserve">proporre ai docenti di alcune scuole secondarie regionali un percorso formativo online sulla metodologia attiva nell’insegnamento dell’educazione civica </w:t>
      </w:r>
    </w:p>
    <w:p>
      <w:pPr>
        <w:pStyle w:val="ListParagraph"/>
        <w:numPr>
          <w:ilvl w:val="0"/>
          <w:numId w:val="12"/>
        </w:numPr>
        <w:rPr>
          <w:color w:val="000000"/>
        </w:rPr>
      </w:pPr>
      <w:r>
        <w:rPr>
          <w:rFonts w:cs="Courier New" w:ascii="Courier New" w:hAnsi="Courier New"/>
          <w:color w:val="000000"/>
          <w:sz w:val="24"/>
          <w:szCs w:val="24"/>
        </w:rPr>
        <w:t>webinar/seminario conclusivo regionale per la disseminazione dei contenuti formativi</w:t>
      </w:r>
    </w:p>
    <w:p>
      <w:pPr>
        <w:pStyle w:val="ListParagraph"/>
        <w:numPr>
          <w:ilvl w:val="0"/>
          <w:numId w:val="0"/>
        </w:numPr>
        <w:ind w:left="1440" w:hanging="0"/>
        <w:rPr>
          <w:rFonts w:ascii="Courier New" w:hAnsi="Courier New" w:cs="Courier New"/>
          <w:sz w:val="24"/>
          <w:szCs w:val="24"/>
        </w:rPr>
      </w:pPr>
      <w:r>
        <w:rPr>
          <w:rFonts w:cs="Courier New" w:ascii="Courier New" w:hAnsi="Courier New"/>
          <w:sz w:val="24"/>
          <w:szCs w:val="24"/>
        </w:rPr>
      </w:r>
    </w:p>
    <w:p>
      <w:pPr>
        <w:pStyle w:val="ListParagraph"/>
        <w:widowControl/>
        <w:suppressAutoHyphens w:val="true"/>
        <w:bidi w:val="0"/>
        <w:spacing w:lineRule="auto" w:line="276" w:before="0" w:after="200"/>
        <w:ind w:left="57" w:right="0" w:hanging="0"/>
        <w:jc w:val="left"/>
        <w:rPr>
          <w:color w:val="000000"/>
        </w:rPr>
      </w:pPr>
      <w:r>
        <w:rPr>
          <w:rFonts w:cs="Courier New" w:ascii="Courier New" w:hAnsi="Courier New"/>
          <w:b/>
          <w:bCs/>
          <w:color w:val="000000"/>
          <w:sz w:val="24"/>
          <w:szCs w:val="24"/>
        </w:rPr>
        <w:t xml:space="preserve">Linea di Azione 3, </w:t>
      </w:r>
      <w:r>
        <w:rPr>
          <w:rFonts w:eastAsia="Times New Roman" w:cs="Calibri Light" w:ascii="Courier New" w:hAnsi="Courier New"/>
          <w:b/>
          <w:bCs/>
          <w:i w:val="false"/>
          <w:caps w:val="false"/>
          <w:smallCaps w:val="false"/>
          <w:color w:val="000000"/>
          <w:spacing w:val="0"/>
          <w:sz w:val="24"/>
          <w:szCs w:val="24"/>
          <w:u w:val="none"/>
          <w:lang w:eastAsia="it-IT"/>
        </w:rPr>
        <w:t>disseminazione di buone pratiche, finalizzate alla prevenzione del disagio giovanile</w:t>
      </w:r>
    </w:p>
    <w:p>
      <w:pPr>
        <w:pStyle w:val="ListParagraph"/>
        <w:rPr>
          <w:color w:val="000000"/>
        </w:rPr>
      </w:pPr>
      <w:r>
        <w:rPr>
          <w:rFonts w:eastAsia="Times New Roman" w:cs="Calibri Light" w:ascii="Courier New" w:hAnsi="Courier New"/>
          <w:b w:val="false"/>
          <w:bCs w:val="false"/>
          <w:i w:val="false"/>
          <w:caps w:val="false"/>
          <w:smallCaps w:val="false"/>
          <w:color w:val="000000"/>
          <w:spacing w:val="0"/>
          <w:sz w:val="24"/>
          <w:szCs w:val="24"/>
          <w:u w:val="none"/>
          <w:lang w:eastAsia="it-IT"/>
        </w:rPr>
        <w:t>Obiettivi:</w:t>
      </w:r>
    </w:p>
    <w:p>
      <w:pPr>
        <w:pStyle w:val="ListParagraph"/>
        <w:rPr>
          <w:rFonts w:ascii="Courier New" w:hAnsi="Courier New"/>
          <w:b w:val="false"/>
          <w:b w:val="false"/>
          <w:bCs w:val="false"/>
          <w:color w:val="0000FF"/>
        </w:rPr>
      </w:pPr>
      <w:r>
        <w:rPr>
          <w:rFonts w:eastAsia="Times New Roman" w:cs="Calibri Light" w:ascii="Courier New" w:hAnsi="Courier New"/>
          <w:b w:val="false"/>
          <w:bCs w:val="false"/>
          <w:i w:val="false"/>
          <w:caps w:val="false"/>
          <w:smallCaps w:val="false"/>
          <w:color w:val="000000"/>
          <w:spacing w:val="0"/>
          <w:sz w:val="24"/>
          <w:szCs w:val="24"/>
          <w:u w:val="none"/>
          <w:lang w:eastAsia="it-IT"/>
        </w:rPr>
        <w:t>mettere a tema il lavoro con i giovani attraverso diversi sguardi, non settoriali ma capaci di aprire riflessioni complesse che facciano cultura, attraverso una formazione regionale che si dipani su più tappe, nella quale favorire anche il confronto multiprofessionale</w:t>
      </w:r>
    </w:p>
    <w:p>
      <w:pPr>
        <w:pStyle w:val="ListParagraph"/>
        <w:rPr>
          <w:rFonts w:ascii="Courier New" w:hAnsi="Courier New" w:eastAsia="Times New Roman" w:cs="Calibri Light"/>
          <w:i w:val="false"/>
          <w:i w:val="false"/>
          <w:caps w:val="false"/>
          <w:smallCaps w:val="false"/>
          <w:spacing w:val="0"/>
          <w:sz w:val="24"/>
          <w:szCs w:val="24"/>
          <w:u w:val="none"/>
          <w:lang w:eastAsia="it-IT"/>
        </w:rPr>
      </w:pPr>
      <w:r>
        <w:rPr>
          <w:rFonts w:eastAsia="Times New Roman" w:cs="Calibri Light" w:ascii="Courier New" w:hAnsi="Courier New"/>
          <w:i w:val="false"/>
          <w:caps w:val="false"/>
          <w:smallCaps w:val="false"/>
          <w:spacing w:val="0"/>
          <w:sz w:val="24"/>
          <w:szCs w:val="24"/>
          <w:u w:val="none"/>
          <w:lang w:eastAsia="it-IT"/>
        </w:rPr>
      </w:r>
    </w:p>
    <w:p>
      <w:pPr>
        <w:pStyle w:val="Normal"/>
        <w:widowControl/>
        <w:suppressAutoHyphens w:val="false"/>
        <w:spacing w:lineRule="auto" w:line="240" w:before="120" w:after="120"/>
        <w:ind w:right="-82" w:hanging="0"/>
        <w:jc w:val="both"/>
        <w:rPr>
          <w:color w:val="000000"/>
        </w:rPr>
      </w:pPr>
      <w:r>
        <w:rPr>
          <w:rFonts w:cs="Courier New" w:ascii="Courier New" w:hAnsi="Courier New"/>
          <w:b w:val="false"/>
          <w:bCs w:val="false"/>
          <w:color w:val="000000"/>
          <w:sz w:val="24"/>
          <w:szCs w:val="24"/>
        </w:rPr>
        <w:t>Azione: Formazione regionale multidisciplinare</w:t>
      </w:r>
    </w:p>
    <w:p>
      <w:pPr>
        <w:pStyle w:val="ListParagraph"/>
        <w:numPr>
          <w:ilvl w:val="0"/>
          <w:numId w:val="0"/>
        </w:numPr>
        <w:ind w:left="1440" w:hanging="0"/>
        <w:jc w:val="both"/>
        <w:rPr>
          <w:rFonts w:ascii="Courier New" w:hAnsi="Courier New" w:cs="Courier New"/>
          <w:sz w:val="24"/>
          <w:szCs w:val="24"/>
        </w:rPr>
      </w:pPr>
      <w:r>
        <w:rPr>
          <w:rFonts w:cs="Courier New" w:ascii="Courier New" w:hAnsi="Courier New"/>
          <w:sz w:val="24"/>
          <w:szCs w:val="24"/>
        </w:rPr>
      </w:r>
    </w:p>
    <w:p>
      <w:pPr>
        <w:pStyle w:val="ListParagraph"/>
        <w:numPr>
          <w:ilvl w:val="0"/>
          <w:numId w:val="0"/>
        </w:numPr>
        <w:ind w:left="1440" w:hanging="0"/>
        <w:jc w:val="both"/>
        <w:rPr/>
      </w:pPr>
      <w:r>
        <w:rPr>
          <w:rFonts w:cs="Courier New" w:ascii="Courier New" w:hAnsi="Courier New"/>
          <w:sz w:val="24"/>
          <w:szCs w:val="24"/>
        </w:rPr>
        <w:t>Formazione congiunta multidisciplinare, che vedrà coinvolti insegnanti, educatori,</w:t>
      </w:r>
      <w:r>
        <w:rPr>
          <w:rFonts w:ascii="Arial" w:hAnsi="Arial"/>
          <w:sz w:val="24"/>
          <w:szCs w:val="24"/>
        </w:rPr>
        <w:t xml:space="preserve"> </w:t>
      </w:r>
      <w:r>
        <w:rPr>
          <w:rFonts w:cs="Courier New" w:ascii="Courier New" w:hAnsi="Courier New"/>
          <w:sz w:val="24"/>
          <w:szCs w:val="24"/>
        </w:rPr>
        <w:t>youth workers ed operatori degli sportelli d'ascolto, sulle buone pratiche finalizzate alla prevenzione dei fenomeni di disagio giovanile: delle modalità relazionali e comunicative fondate sull'empatia all'accoglienza delle differenze, dall'inclusione alla gestione nonviolenta dei conflitti, dalla capacità di ascolto attivo al riconoscimento e alla gestione delle emozioni, anche in collaborazione con l’Azienda USL di Reggio Emilia.</w:t>
      </w:r>
      <w:r>
        <w:rPr>
          <w:rFonts w:cs="Courier New" w:ascii="Courier New" w:hAnsi="Courier New"/>
          <w:color w:val="000000"/>
          <w:sz w:val="24"/>
          <w:szCs w:val="24"/>
        </w:rPr>
        <w:t xml:space="preserve"> La formazione si </w:t>
      </w:r>
      <w:r>
        <w:rPr>
          <w:rFonts w:cs="Courier New" w:ascii="Courier New" w:hAnsi="Courier New"/>
          <w:b w:val="false"/>
          <w:i w:val="false"/>
          <w:caps w:val="false"/>
          <w:smallCaps w:val="false"/>
          <w:color w:val="000000"/>
          <w:spacing w:val="0"/>
          <w:sz w:val="24"/>
          <w:szCs w:val="24"/>
        </w:rPr>
        <w:t>svolgerà in presenza a Reggio Emilia e contemporaneamente sarà fruibile a distanza da altri luoghi della regione connessi con Reggio Emilia</w:t>
      </w:r>
      <w:r>
        <w:rPr>
          <w:rFonts w:cs="Courier New" w:ascii="Courier New" w:hAnsi="Courier New"/>
          <w:color w:val="000000"/>
          <w:sz w:val="24"/>
          <w:szCs w:val="24"/>
        </w:rPr>
        <w:t xml:space="preserve"> </w:t>
      </w:r>
    </w:p>
    <w:p>
      <w:pPr>
        <w:pStyle w:val="Normal"/>
        <w:widowControl/>
        <w:suppressAutoHyphens w:val="false"/>
        <w:spacing w:lineRule="auto" w:line="240" w:before="120" w:after="120"/>
        <w:ind w:right="-82" w:hanging="0"/>
        <w:jc w:val="both"/>
        <w:rPr>
          <w:rFonts w:ascii="Courier New" w:hAnsi="Courier New" w:cs="Courier New"/>
          <w:b/>
          <w:b/>
          <w:bCs/>
          <w:sz w:val="24"/>
          <w:szCs w:val="24"/>
        </w:rPr>
      </w:pPr>
      <w:r>
        <w:rPr>
          <w:rFonts w:cs="Courier New" w:ascii="Courier New" w:hAnsi="Courier New"/>
          <w:b/>
          <w:bCs/>
          <w:sz w:val="24"/>
          <w:szCs w:val="24"/>
        </w:rPr>
      </w:r>
    </w:p>
    <w:p>
      <w:pPr>
        <w:pStyle w:val="Normal"/>
        <w:spacing w:before="120" w:after="120"/>
        <w:ind w:right="-82" w:hanging="0"/>
        <w:jc w:val="center"/>
        <w:rPr>
          <w:rFonts w:ascii="Courier New" w:hAnsi="Courier New" w:cs="Courier New"/>
          <w:b/>
          <w:b/>
          <w:sz w:val="24"/>
          <w:szCs w:val="24"/>
        </w:rPr>
      </w:pPr>
      <w:r>
        <w:rPr>
          <w:rFonts w:cs="Courier New" w:ascii="Courier New" w:hAnsi="Courier New"/>
          <w:b/>
          <w:sz w:val="24"/>
          <w:szCs w:val="24"/>
        </w:rPr>
        <w:t xml:space="preserve">ART. 2 </w:t>
      </w:r>
    </w:p>
    <w:p>
      <w:pPr>
        <w:pStyle w:val="Normal"/>
        <w:spacing w:before="120" w:after="120"/>
        <w:ind w:right="-82" w:hanging="0"/>
        <w:jc w:val="center"/>
        <w:rPr>
          <w:rFonts w:ascii="Courier New" w:hAnsi="Courier New" w:cs="Courier New"/>
          <w:sz w:val="24"/>
          <w:szCs w:val="24"/>
        </w:rPr>
      </w:pPr>
      <w:r>
        <w:rPr>
          <w:rFonts w:cs="Courier New" w:ascii="Courier New" w:hAnsi="Courier New"/>
          <w:b/>
          <w:sz w:val="24"/>
          <w:szCs w:val="24"/>
        </w:rPr>
        <w:t xml:space="preserve">Durata </w:t>
      </w:r>
    </w:p>
    <w:p>
      <w:pPr>
        <w:pStyle w:val="Normal"/>
        <w:suppressAutoHyphens w:val="false"/>
        <w:spacing w:lineRule="auto" w:line="240" w:before="120" w:after="120"/>
        <w:ind w:right="-82" w:hanging="0"/>
        <w:jc w:val="both"/>
        <w:rPr>
          <w:rFonts w:ascii="Courier New" w:hAnsi="Courier New" w:cs="Courier New"/>
          <w:sz w:val="24"/>
          <w:szCs w:val="24"/>
        </w:rPr>
      </w:pPr>
      <w:r>
        <w:rPr>
          <w:rFonts w:cs="Courier New" w:ascii="Courier New" w:hAnsi="Courier New"/>
          <w:sz w:val="24"/>
          <w:szCs w:val="24"/>
        </w:rPr>
        <w:t>La presente convenzione e le relative attività hanno durata fino al 31/12/2022</w:t>
      </w:r>
      <w:r>
        <w:rPr>
          <w:rFonts w:cs="Courier New" w:ascii="Courier New" w:hAnsi="Courier New"/>
          <w:color w:val="00B0F0"/>
          <w:sz w:val="24"/>
          <w:szCs w:val="24"/>
        </w:rPr>
        <w:t xml:space="preserve"> </w:t>
      </w:r>
      <w:r>
        <w:rPr>
          <w:rFonts w:cs="Courier New" w:ascii="Courier New" w:hAnsi="Courier New"/>
          <w:sz w:val="24"/>
          <w:szCs w:val="24"/>
        </w:rPr>
        <w:t>dalla sottoscrizione della stessa, fatto salvo quanto indicato al successivo art. 7.</w:t>
      </w:r>
    </w:p>
    <w:p>
      <w:pPr>
        <w:pStyle w:val="Normal"/>
        <w:suppressAutoHyphens w:val="false"/>
        <w:spacing w:lineRule="auto" w:line="240" w:before="120" w:after="120"/>
        <w:ind w:right="-82" w:hanging="0"/>
        <w:jc w:val="both"/>
        <w:rPr>
          <w:rFonts w:ascii="Courier New" w:hAnsi="Courier New" w:cs="Courier New"/>
          <w:sz w:val="24"/>
          <w:szCs w:val="24"/>
        </w:rPr>
      </w:pPr>
      <w:r>
        <w:rPr>
          <w:rFonts w:cs="Courier New" w:ascii="Courier New" w:hAnsi="Courier New"/>
          <w:sz w:val="24"/>
          <w:szCs w:val="24"/>
        </w:rPr>
        <w:t>La presente convenzione s'intenderà sottoscritta alla data di apposizione della firma digitale da parte della Regione, quale ultimo firmatario e di repertoriazione della stessa alla quale si procederà nella medesima data.</w:t>
      </w:r>
    </w:p>
    <w:p>
      <w:pPr>
        <w:pStyle w:val="Normal"/>
        <w:spacing w:before="120" w:after="120"/>
        <w:ind w:right="-82" w:hanging="0"/>
        <w:jc w:val="center"/>
        <w:rPr>
          <w:rFonts w:ascii="Courier New" w:hAnsi="Courier New" w:cs="Courier New"/>
          <w:b/>
          <w:b/>
          <w:bCs/>
          <w:sz w:val="24"/>
          <w:szCs w:val="24"/>
        </w:rPr>
      </w:pPr>
      <w:r>
        <w:rPr>
          <w:rFonts w:cs="Courier New" w:ascii="Courier New" w:hAnsi="Courier New"/>
          <w:b/>
          <w:sz w:val="24"/>
          <w:szCs w:val="24"/>
        </w:rPr>
        <w:t xml:space="preserve">ART. 3 </w:t>
      </w:r>
    </w:p>
    <w:p>
      <w:pPr>
        <w:pStyle w:val="Normal"/>
        <w:spacing w:before="120" w:after="120"/>
        <w:ind w:right="-82" w:hanging="0"/>
        <w:jc w:val="center"/>
        <w:rPr>
          <w:rFonts w:ascii="Courier New" w:hAnsi="Courier New" w:cs="Courier New"/>
          <w:sz w:val="24"/>
          <w:szCs w:val="24"/>
        </w:rPr>
      </w:pPr>
      <w:r>
        <w:rPr>
          <w:rFonts w:cs="Courier New" w:ascii="Courier New" w:hAnsi="Courier New"/>
          <w:b/>
          <w:bCs/>
          <w:sz w:val="24"/>
          <w:szCs w:val="24"/>
        </w:rPr>
        <w:t>Costo dell'intervento e copertura finanziaria</w:t>
      </w:r>
    </w:p>
    <w:p>
      <w:pPr>
        <w:pStyle w:val="Normal"/>
        <w:suppressAutoHyphens w:val="false"/>
        <w:spacing w:lineRule="auto" w:line="240" w:before="120" w:after="120"/>
        <w:ind w:right="-82" w:hanging="0"/>
        <w:jc w:val="both"/>
        <w:rPr/>
      </w:pPr>
      <w:r>
        <w:rPr>
          <w:rFonts w:cs="Courier New" w:ascii="Courier New" w:hAnsi="Courier New"/>
          <w:sz w:val="24"/>
          <w:szCs w:val="24"/>
        </w:rPr>
        <w:t>Gli interventi di cui all’articolo 1 prevedono un costo complessivo di € 64.739,00 a carico del Fondo nazionale per le politiche giovanili,</w:t>
      </w:r>
      <w:r>
        <w:rPr>
          <w:rFonts w:cs="Courier New" w:ascii="Courier New" w:hAnsi="Courier New"/>
          <w:color w:val="0000FF"/>
          <w:sz w:val="24"/>
          <w:szCs w:val="24"/>
        </w:rPr>
        <w:t xml:space="preserve"> </w:t>
      </w:r>
      <w:r>
        <w:rPr>
          <w:rFonts w:cs="Courier New" w:ascii="Courier New" w:hAnsi="Courier New"/>
          <w:color w:val="000000"/>
          <w:sz w:val="24"/>
          <w:szCs w:val="24"/>
        </w:rPr>
        <w:t xml:space="preserve">di cui € 44.000,00 destinati alla linea di azione 1) “Partecipazione inclusiva” ed € 20.739,00 destinati alla linea di azione 3)“Disseminazione di buone pratiche, finalizzate alla prevenzione del disagio giovanile” </w:t>
      </w:r>
    </w:p>
    <w:p>
      <w:pPr>
        <w:pStyle w:val="Normal"/>
        <w:spacing w:before="120" w:after="120"/>
        <w:ind w:right="-82" w:hanging="0"/>
        <w:jc w:val="center"/>
        <w:rPr>
          <w:rFonts w:ascii="Courier New" w:hAnsi="Courier New" w:cs="Courier New"/>
          <w:b/>
          <w:b/>
          <w:bCs/>
          <w:sz w:val="24"/>
          <w:szCs w:val="24"/>
        </w:rPr>
      </w:pPr>
      <w:r>
        <w:rPr>
          <w:rFonts w:cs="Courier New" w:ascii="Courier New" w:hAnsi="Courier New"/>
          <w:b/>
          <w:bCs/>
          <w:sz w:val="24"/>
          <w:szCs w:val="24"/>
        </w:rPr>
        <w:t xml:space="preserve">ART. 4 </w:t>
      </w:r>
    </w:p>
    <w:p>
      <w:pPr>
        <w:pStyle w:val="Normal"/>
        <w:spacing w:before="120" w:after="120"/>
        <w:ind w:right="-82" w:hanging="0"/>
        <w:jc w:val="center"/>
        <w:rPr/>
      </w:pPr>
      <w:r>
        <w:rPr>
          <w:rFonts w:cs="Courier New" w:ascii="Courier New" w:hAnsi="Courier New"/>
          <w:b/>
          <w:bCs/>
          <w:sz w:val="24"/>
          <w:szCs w:val="24"/>
        </w:rPr>
        <w:t>Impegni del Comune di Reggio Emilia</w:t>
      </w:r>
    </w:p>
    <w:p>
      <w:pPr>
        <w:pStyle w:val="Normal"/>
        <w:spacing w:lineRule="auto" w:line="240" w:before="120" w:after="120"/>
        <w:ind w:right="-82" w:hanging="0"/>
        <w:jc w:val="both"/>
        <w:rPr/>
      </w:pPr>
      <w:r>
        <w:rPr>
          <w:rFonts w:cs="Courier New" w:ascii="Courier New" w:hAnsi="Courier New"/>
          <w:sz w:val="24"/>
          <w:szCs w:val="24"/>
        </w:rPr>
        <w:t>Ai fini dell’attuazione degli interventi di cui all’art. 1 il Comune di Reggio Emilia si impegna a:</w:t>
      </w:r>
    </w:p>
    <w:p>
      <w:pPr>
        <w:pStyle w:val="Normal"/>
        <w:widowControl/>
        <w:numPr>
          <w:ilvl w:val="0"/>
          <w:numId w:val="4"/>
        </w:numPr>
        <w:suppressAutoHyphens w:val="false"/>
        <w:spacing w:lineRule="auto" w:line="240" w:before="120" w:after="120"/>
        <w:ind w:left="644" w:right="-82" w:hanging="360"/>
        <w:jc w:val="both"/>
        <w:rPr/>
      </w:pPr>
      <w:r>
        <w:rPr>
          <w:rFonts w:cs="Courier New" w:ascii="Courier New" w:hAnsi="Courier New"/>
          <w:sz w:val="24"/>
          <w:szCs w:val="24"/>
        </w:rPr>
        <w:t>realizzare le attività ossia le azioni previste dagli interventi di cui all’articolo 1;</w:t>
      </w:r>
    </w:p>
    <w:p>
      <w:pPr>
        <w:pStyle w:val="Normal"/>
        <w:widowControl/>
        <w:numPr>
          <w:ilvl w:val="0"/>
          <w:numId w:val="4"/>
        </w:numPr>
        <w:suppressAutoHyphens w:val="false"/>
        <w:spacing w:lineRule="auto" w:line="240" w:before="120" w:after="120"/>
        <w:ind w:left="644" w:right="-82" w:hanging="360"/>
        <w:jc w:val="both"/>
        <w:rPr>
          <w:rFonts w:ascii="Courier New" w:hAnsi="Courier New" w:cs="Courier New"/>
          <w:sz w:val="24"/>
          <w:szCs w:val="24"/>
        </w:rPr>
      </w:pPr>
      <w:r>
        <w:rPr>
          <w:rFonts w:cs="Courier New" w:ascii="Courier New" w:hAnsi="Courier New"/>
          <w:sz w:val="24"/>
          <w:szCs w:val="24"/>
        </w:rPr>
        <w:t xml:space="preserve">compilare, con cadenza semestrale l’apposita “Scheda di monitoraggio” Allegato A della presente convenzione, a decorrere dalla sottoscrizione della presente convenzione, da inviare all’indirizzo PEC: </w:t>
      </w:r>
      <w:r>
        <w:rPr>
          <w:rFonts w:cs="Courier New" w:ascii="Courier New" w:hAnsi="Courier New"/>
          <w:color w:val="4472C4" w:themeColor="accent1"/>
          <w:sz w:val="24"/>
          <w:szCs w:val="24"/>
        </w:rPr>
        <w:t xml:space="preserve">servcult@postacert.regione.emilia-romagna.it </w:t>
      </w:r>
      <w:r>
        <w:rPr>
          <w:rFonts w:cs="Courier New" w:ascii="Courier New" w:hAnsi="Courier New"/>
          <w:sz w:val="24"/>
          <w:szCs w:val="24"/>
        </w:rPr>
        <w:t xml:space="preserve">al fine di consentire alla Regione il monitoraggio dello stato di realizzazione degli interventi previsti dalla presente Convenzione, in coerenza agli adempimenti previsti nell'Accordo di collaborazione sopracitato; </w:t>
      </w:r>
    </w:p>
    <w:p>
      <w:pPr>
        <w:pStyle w:val="Normal"/>
        <w:widowControl/>
        <w:numPr>
          <w:ilvl w:val="0"/>
          <w:numId w:val="4"/>
        </w:numPr>
        <w:suppressAutoHyphens w:val="false"/>
        <w:spacing w:lineRule="auto" w:line="240" w:before="120" w:after="120"/>
        <w:ind w:left="644" w:right="-82" w:hanging="360"/>
        <w:jc w:val="both"/>
        <w:rPr>
          <w:rFonts w:ascii="Courier New" w:hAnsi="Courier New" w:cs="Courier New"/>
          <w:sz w:val="24"/>
          <w:szCs w:val="24"/>
        </w:rPr>
      </w:pPr>
      <w:r>
        <w:rPr>
          <w:rFonts w:cs="Courier New" w:ascii="Courier New" w:hAnsi="Courier New"/>
          <w:sz w:val="24"/>
          <w:szCs w:val="24"/>
        </w:rPr>
        <w:t xml:space="preserve">comunicare tempestivamente alla Regione informazioni dettagliate circa eventuali ritardi nello svolgimento delle attività previste, ossia azioni svolte, fatti che ne pregiudichino lo svolgimento o ne comportino un’attuazione parziale, nonché fatti che possano comportare la riduzione del cofinanziamento delle attività a carico del medesimo soggetto; </w:t>
      </w:r>
    </w:p>
    <w:p>
      <w:pPr>
        <w:pStyle w:val="Normal"/>
        <w:widowControl/>
        <w:numPr>
          <w:ilvl w:val="0"/>
          <w:numId w:val="4"/>
        </w:numPr>
        <w:suppressAutoHyphens w:val="false"/>
        <w:spacing w:lineRule="auto" w:line="240" w:before="120" w:after="0"/>
        <w:ind w:left="644" w:right="-82" w:hanging="360"/>
        <w:jc w:val="both"/>
        <w:rPr>
          <w:rFonts w:ascii="Courier New" w:hAnsi="Courier New" w:cs="Courier New"/>
          <w:sz w:val="24"/>
          <w:szCs w:val="24"/>
        </w:rPr>
      </w:pPr>
      <w:r>
        <w:rPr>
          <w:rFonts w:cs="Courier New" w:ascii="Courier New" w:hAnsi="Courier New"/>
          <w:sz w:val="24"/>
          <w:szCs w:val="24"/>
        </w:rPr>
        <w:t>evidenziare in ogni strumento di promozione e di informazione che l’attività oggetto della presente convenzione rientra negli interventi previsti dall’Accordo GECO 10 ed è realizzata con il contributo della Presidenza del Consiglio dei Ministri con delega in materia di pari opportunità e politiche giovanili e servizio civile universale e della Regione Emilia-Romagna – Assessorato al contrasto alle diseguaglianze e transizione ecologica: Patto per il clima, welfare, politiche abitative, politiche giovanili, cooperazione internazionale allo sviluppo, relazioni internazionali, rapporti con l’UE;</w:t>
      </w:r>
    </w:p>
    <w:p>
      <w:pPr>
        <w:pStyle w:val="Normal"/>
        <w:widowControl/>
        <w:numPr>
          <w:ilvl w:val="0"/>
          <w:numId w:val="4"/>
        </w:numPr>
        <w:suppressAutoHyphens w:val="false"/>
        <w:spacing w:lineRule="auto" w:line="240" w:before="0" w:after="160"/>
        <w:jc w:val="both"/>
        <w:rPr>
          <w:rFonts w:ascii="Courier New" w:hAnsi="Courier New" w:cs="Courier New"/>
          <w:sz w:val="24"/>
          <w:szCs w:val="24"/>
        </w:rPr>
      </w:pPr>
      <w:r>
        <w:rPr>
          <w:rFonts w:cs="Courier New" w:ascii="Courier New" w:hAnsi="Courier New"/>
          <w:sz w:val="24"/>
          <w:szCs w:val="24"/>
        </w:rPr>
        <w:t>garantire, ai sensi della Comunicazione della Commissione europea 2016/C262/01, paragrafo 34, che la realizzazione delle attività oggetto del presente finanziamento siano svolte con finalità esclusivamente sociali e culturali che non rivestano carattere economico e non costituiscano Aiuto di Stato.</w:t>
      </w:r>
    </w:p>
    <w:p>
      <w:pPr>
        <w:pStyle w:val="Normal"/>
        <w:spacing w:lineRule="auto" w:line="240"/>
        <w:ind w:left="644" w:hanging="0"/>
        <w:jc w:val="both"/>
        <w:rPr>
          <w:rFonts w:ascii="Courier New" w:hAnsi="Courier New" w:cs="Courier New"/>
          <w:sz w:val="24"/>
          <w:szCs w:val="24"/>
        </w:rPr>
      </w:pPr>
      <w:r>
        <w:rPr>
          <w:rFonts w:cs="Courier New" w:ascii="Courier New" w:hAnsi="Courier New"/>
          <w:sz w:val="24"/>
          <w:szCs w:val="24"/>
        </w:rPr>
      </w:r>
    </w:p>
    <w:p>
      <w:pPr>
        <w:pStyle w:val="Normal"/>
        <w:spacing w:before="120" w:after="120"/>
        <w:ind w:right="-82" w:hanging="0"/>
        <w:jc w:val="center"/>
        <w:rPr>
          <w:rFonts w:ascii="Courier New" w:hAnsi="Courier New" w:cs="Courier New"/>
          <w:b/>
          <w:b/>
          <w:sz w:val="24"/>
          <w:szCs w:val="24"/>
        </w:rPr>
      </w:pPr>
      <w:r>
        <w:rPr>
          <w:rFonts w:cs="Courier New" w:ascii="Courier New" w:hAnsi="Courier New"/>
          <w:b/>
          <w:sz w:val="24"/>
          <w:szCs w:val="24"/>
        </w:rPr>
        <w:t xml:space="preserve">ART. 5 </w:t>
      </w:r>
    </w:p>
    <w:p>
      <w:pPr>
        <w:pStyle w:val="Normal"/>
        <w:spacing w:before="120" w:after="120"/>
        <w:ind w:right="-82" w:hanging="0"/>
        <w:jc w:val="center"/>
        <w:rPr>
          <w:rFonts w:ascii="Courier New" w:hAnsi="Courier New" w:cs="Courier New"/>
          <w:sz w:val="24"/>
          <w:szCs w:val="24"/>
        </w:rPr>
      </w:pPr>
      <w:r>
        <w:rPr>
          <w:rFonts w:cs="Courier New" w:ascii="Courier New" w:hAnsi="Courier New"/>
          <w:b/>
          <w:sz w:val="24"/>
          <w:szCs w:val="24"/>
        </w:rPr>
        <w:t>Impegni della Regione</w:t>
      </w:r>
    </w:p>
    <w:p>
      <w:pPr>
        <w:pStyle w:val="Normal"/>
        <w:suppressAutoHyphens w:val="false"/>
        <w:spacing w:lineRule="auto" w:line="240" w:before="120" w:after="120"/>
        <w:ind w:right="-82" w:hanging="0"/>
        <w:jc w:val="both"/>
        <w:rPr/>
      </w:pPr>
      <w:r>
        <w:rPr>
          <w:rFonts w:cs="Courier New" w:ascii="Courier New" w:hAnsi="Courier New"/>
          <w:sz w:val="24"/>
          <w:szCs w:val="24"/>
        </w:rPr>
        <w:t>La Regione si impegna a concorrere all'attuazione in collaborazione dei progetti di cui all’art. 1) attraverso:</w:t>
      </w:r>
    </w:p>
    <w:p>
      <w:pPr>
        <w:pStyle w:val="Normal"/>
        <w:widowControl/>
        <w:numPr>
          <w:ilvl w:val="0"/>
          <w:numId w:val="5"/>
        </w:numPr>
        <w:suppressAutoHyphens w:val="false"/>
        <w:spacing w:lineRule="auto" w:line="240" w:before="120" w:after="120"/>
        <w:ind w:left="360" w:right="-82" w:hanging="360"/>
        <w:jc w:val="both"/>
        <w:rPr>
          <w:rFonts w:ascii="Courier New" w:hAnsi="Courier New" w:cs="Courier New"/>
          <w:sz w:val="24"/>
          <w:szCs w:val="24"/>
        </w:rPr>
      </w:pPr>
      <w:r>
        <w:rPr>
          <w:rFonts w:cs="Courier New" w:ascii="Courier New" w:hAnsi="Courier New"/>
          <w:sz w:val="24"/>
          <w:szCs w:val="24"/>
        </w:rPr>
        <w:t>la collaborazione dei propri uffici per favorire l’efficacia delle attività previste;</w:t>
      </w:r>
    </w:p>
    <w:p>
      <w:pPr>
        <w:pStyle w:val="Normal"/>
        <w:widowControl/>
        <w:numPr>
          <w:ilvl w:val="0"/>
          <w:numId w:val="5"/>
        </w:numPr>
        <w:suppressAutoHyphens w:val="false"/>
        <w:spacing w:lineRule="auto" w:line="240" w:before="120" w:after="120"/>
        <w:ind w:left="360" w:right="-82" w:hanging="360"/>
        <w:jc w:val="both"/>
        <w:rPr>
          <w:rFonts w:ascii="Courier New" w:hAnsi="Courier New" w:cs="Courier New"/>
          <w:b/>
          <w:b/>
          <w:bCs/>
          <w:sz w:val="24"/>
          <w:szCs w:val="24"/>
        </w:rPr>
      </w:pPr>
      <w:r>
        <w:rPr>
          <w:rFonts w:cs="Courier New" w:ascii="Courier New" w:hAnsi="Courier New"/>
          <w:sz w:val="24"/>
          <w:szCs w:val="24"/>
        </w:rPr>
        <w:t>la concessione dei contributi per l’importo indicato all’art. 3.</w:t>
      </w:r>
    </w:p>
    <w:p>
      <w:pPr>
        <w:pStyle w:val="Normal"/>
        <w:widowControl/>
        <w:suppressAutoHyphens w:val="false"/>
        <w:spacing w:lineRule="auto" w:line="252" w:before="120" w:after="120"/>
        <w:ind w:left="360" w:right="-82" w:hanging="0"/>
        <w:jc w:val="both"/>
        <w:rPr>
          <w:rFonts w:ascii="Courier New" w:hAnsi="Courier New" w:cs="Courier New"/>
          <w:b/>
          <w:b/>
          <w:sz w:val="24"/>
          <w:szCs w:val="24"/>
        </w:rPr>
      </w:pPr>
      <w:r>
        <w:rPr>
          <w:rFonts w:cs="Courier New" w:ascii="Courier New" w:hAnsi="Courier New"/>
          <w:b/>
          <w:sz w:val="24"/>
          <w:szCs w:val="24"/>
        </w:rPr>
      </w:r>
    </w:p>
    <w:p>
      <w:pPr>
        <w:pStyle w:val="Normal"/>
        <w:spacing w:before="120" w:after="120"/>
        <w:ind w:right="-82" w:hanging="0"/>
        <w:jc w:val="center"/>
        <w:rPr>
          <w:rFonts w:ascii="Courier New" w:hAnsi="Courier New" w:cs="Courier New"/>
          <w:b/>
          <w:b/>
          <w:sz w:val="24"/>
          <w:szCs w:val="24"/>
        </w:rPr>
      </w:pPr>
      <w:r>
        <w:rPr>
          <w:rFonts w:cs="Courier New" w:ascii="Courier New" w:hAnsi="Courier New"/>
          <w:b/>
          <w:sz w:val="24"/>
          <w:szCs w:val="24"/>
        </w:rPr>
        <w:t xml:space="preserve">ART. 6 </w:t>
      </w:r>
    </w:p>
    <w:p>
      <w:pPr>
        <w:pStyle w:val="Normal"/>
        <w:spacing w:before="120" w:after="120"/>
        <w:ind w:right="-82" w:hanging="0"/>
        <w:jc w:val="center"/>
        <w:rPr>
          <w:rFonts w:ascii="Courier New" w:hAnsi="Courier New" w:cs="Courier New"/>
          <w:sz w:val="24"/>
          <w:szCs w:val="24"/>
        </w:rPr>
      </w:pPr>
      <w:r>
        <w:rPr>
          <w:rFonts w:cs="Courier New" w:ascii="Courier New" w:hAnsi="Courier New"/>
          <w:b/>
          <w:sz w:val="24"/>
          <w:szCs w:val="24"/>
        </w:rPr>
        <w:t>Modalità di liquidazione</w:t>
      </w:r>
      <w:r>
        <w:rPr>
          <w:rFonts w:cs="Courier New" w:ascii="Courier New" w:hAnsi="Courier New"/>
          <w:b/>
          <w:bCs/>
          <w:sz w:val="24"/>
          <w:szCs w:val="24"/>
        </w:rPr>
        <w:t xml:space="preserve"> dei contributi a valere sul Fondo nazionale politiche giovanili</w:t>
      </w:r>
    </w:p>
    <w:p>
      <w:pPr>
        <w:pStyle w:val="Normal"/>
        <w:suppressAutoHyphens w:val="false"/>
        <w:spacing w:lineRule="auto" w:line="240" w:before="120" w:after="120"/>
        <w:ind w:right="-82" w:hanging="0"/>
        <w:jc w:val="both"/>
        <w:rPr>
          <w:rFonts w:ascii="Courier New" w:hAnsi="Courier New" w:cs="Courier New"/>
          <w:sz w:val="24"/>
          <w:szCs w:val="24"/>
        </w:rPr>
      </w:pPr>
      <w:r>
        <w:rPr>
          <w:rFonts w:cs="Courier New" w:ascii="Courier New" w:hAnsi="Courier New"/>
          <w:sz w:val="24"/>
          <w:szCs w:val="24"/>
        </w:rPr>
        <w:t>I contributi verranno liquidati ed erogati a presentazione, da parte del Soggetto attuatore dell’intervento, della documentazione e nei tempi di seguito indicate:</w:t>
      </w:r>
    </w:p>
    <w:p>
      <w:pPr>
        <w:pStyle w:val="Normal"/>
        <w:numPr>
          <w:ilvl w:val="1"/>
          <w:numId w:val="6"/>
        </w:numPr>
        <w:suppressAutoHyphens w:val="false"/>
        <w:spacing w:lineRule="atLeast" w:line="100" w:before="100" w:after="119"/>
        <w:jc w:val="both"/>
        <w:rPr>
          <w:rFonts w:ascii="Courier New" w:hAnsi="Courier New" w:eastAsia="Courier New" w:cs="Courier New"/>
          <w:sz w:val="24"/>
          <w:szCs w:val="24"/>
        </w:rPr>
      </w:pPr>
      <w:r>
        <w:rPr>
          <w:rFonts w:cs="Courier New" w:ascii="Courier New" w:hAnsi="Courier New"/>
          <w:sz w:val="24"/>
          <w:szCs w:val="24"/>
          <w:lang w:eastAsia="it-IT"/>
        </w:rPr>
        <w:t>una prima tranche, fino al 30% del contributo in relazione ad un primo stato di avanzamento delle attività realizzate, supportato da apposita relazione e attestazione delle spese sostenute;</w:t>
      </w:r>
    </w:p>
    <w:p>
      <w:pPr>
        <w:pStyle w:val="Normal"/>
        <w:numPr>
          <w:ilvl w:val="1"/>
          <w:numId w:val="6"/>
        </w:numPr>
        <w:suppressAutoHyphens w:val="false"/>
        <w:spacing w:lineRule="atLeast" w:line="100" w:before="100" w:after="119"/>
        <w:jc w:val="both"/>
        <w:rPr>
          <w:sz w:val="24"/>
          <w:szCs w:val="24"/>
        </w:rPr>
      </w:pPr>
      <w:r>
        <w:rPr>
          <w:rFonts w:cs="Courier New" w:ascii="Courier New" w:hAnsi="Courier New"/>
          <w:sz w:val="24"/>
          <w:szCs w:val="24"/>
          <w:lang w:eastAsia="it-IT"/>
        </w:rPr>
        <w:t xml:space="preserve">il saldo a conclusione dell’attività e dietro presentazione dell’apposita documentazione di rendicontazione finale, a fronte della presentazione da parte del soggetto attuatore di una relazione consuntiva sulle attività svolte, corredata dalla relativa rendicontazione finanziaria delle spese a consuntivo relative alle attività da realizzarsi, fermo restando quanto indicato al successivo art.7. </w:t>
      </w:r>
      <w:r>
        <w:rPr>
          <w:rFonts w:cs="Courier New" w:ascii="Courier New" w:hAnsi="Courier New"/>
          <w:sz w:val="24"/>
          <w:szCs w:val="24"/>
        </w:rPr>
        <w:t>La documentazione contabile dovrà contenere l’indicazione del luogo di conservazione, il tutto debitamente firmato dal Responsabile del Procedimento o dal Legale Rappresentante dell’Ente.</w:t>
      </w:r>
    </w:p>
    <w:p>
      <w:pPr>
        <w:pStyle w:val="Normal"/>
        <w:suppressAutoHyphens w:val="false"/>
        <w:spacing w:lineRule="atLeast" w:line="100" w:before="100" w:after="119"/>
        <w:ind w:left="720" w:hanging="0"/>
        <w:jc w:val="both"/>
        <w:rPr>
          <w:sz w:val="24"/>
          <w:szCs w:val="24"/>
        </w:rPr>
      </w:pPr>
      <w:r>
        <w:rPr>
          <w:sz w:val="24"/>
          <w:szCs w:val="24"/>
        </w:rPr>
      </w:r>
    </w:p>
    <w:p>
      <w:pPr>
        <w:pStyle w:val="Normal"/>
        <w:jc w:val="center"/>
        <w:rPr>
          <w:rFonts w:ascii="Courier New" w:hAnsi="Courier New" w:cs="Courier New"/>
          <w:b/>
          <w:b/>
          <w:sz w:val="24"/>
          <w:szCs w:val="24"/>
        </w:rPr>
      </w:pPr>
      <w:r>
        <w:rPr>
          <w:rFonts w:cs="Courier New" w:ascii="Courier New" w:hAnsi="Courier New"/>
          <w:b/>
          <w:sz w:val="24"/>
          <w:szCs w:val="24"/>
        </w:rPr>
        <w:t>ART. 7</w:t>
      </w:r>
    </w:p>
    <w:p>
      <w:pPr>
        <w:pStyle w:val="Normal"/>
        <w:jc w:val="center"/>
        <w:rPr>
          <w:rFonts w:ascii="Courier New" w:hAnsi="Courier New" w:cs="Courier New"/>
          <w:sz w:val="24"/>
          <w:szCs w:val="24"/>
        </w:rPr>
      </w:pPr>
      <w:r>
        <w:rPr>
          <w:rFonts w:cs="Courier New" w:ascii="Courier New" w:hAnsi="Courier New"/>
          <w:b/>
          <w:sz w:val="24"/>
          <w:szCs w:val="24"/>
        </w:rPr>
        <w:t>Te</w:t>
      </w:r>
      <w:r>
        <w:rPr>
          <w:rFonts w:cs="Courier New" w:ascii="Courier New" w:hAnsi="Courier New"/>
          <w:b/>
          <w:bCs/>
          <w:sz w:val="24"/>
          <w:szCs w:val="24"/>
        </w:rPr>
        <w:t>rmine delle azioni e proroghe</w:t>
      </w:r>
    </w:p>
    <w:p>
      <w:pPr>
        <w:pStyle w:val="Normal"/>
        <w:spacing w:lineRule="auto" w:line="240"/>
        <w:jc w:val="both"/>
        <w:rPr>
          <w:rFonts w:ascii="Courier New" w:hAnsi="Courier New" w:cs="Courier New"/>
          <w:sz w:val="24"/>
          <w:szCs w:val="24"/>
        </w:rPr>
      </w:pPr>
      <w:r>
        <w:rPr>
          <w:rFonts w:cs="Courier New" w:ascii="Courier New" w:hAnsi="Courier New"/>
          <w:sz w:val="24"/>
          <w:szCs w:val="24"/>
        </w:rPr>
        <w:t>Le azioni svolte dovranno essere completate entro il 31/12/2022, salvo motivate ragioni, da documentarsi adeguatamente, sulla base delle quali il Comune di Reggio Emilia potrà richiedere una proroga da concedersi con apposito atto del Dirigente regionale competente per materia prima della scadenza della presente convenzione. In caso di proroga si provvederà alla rivisitazione delle scritture contabili ai fini della corretta registrazione dell’impegno di spesa assunto, in linea con i principi previsti dal D.Lgs. n. 118/2011 e ss.mm.ii.</w:t>
      </w:r>
    </w:p>
    <w:p>
      <w:pPr>
        <w:pStyle w:val="Normal"/>
        <w:spacing w:before="120" w:after="120"/>
        <w:ind w:right="-82" w:hanging="0"/>
        <w:jc w:val="center"/>
        <w:rPr>
          <w:rFonts w:ascii="Courier New" w:hAnsi="Courier New" w:cs="Courier New"/>
          <w:b/>
          <w:b/>
          <w:sz w:val="24"/>
          <w:szCs w:val="24"/>
        </w:rPr>
      </w:pPr>
      <w:r>
        <w:rPr>
          <w:rFonts w:cs="Courier New" w:ascii="Courier New" w:hAnsi="Courier New"/>
          <w:b/>
          <w:sz w:val="24"/>
          <w:szCs w:val="24"/>
        </w:rPr>
        <w:t xml:space="preserve">ART. 8 </w:t>
      </w:r>
    </w:p>
    <w:p>
      <w:pPr>
        <w:pStyle w:val="Normal"/>
        <w:spacing w:before="120" w:after="120"/>
        <w:ind w:right="-82" w:hanging="0"/>
        <w:jc w:val="center"/>
        <w:rPr>
          <w:rFonts w:ascii="Courier New" w:hAnsi="Courier New" w:cs="Courier New"/>
          <w:sz w:val="24"/>
          <w:szCs w:val="24"/>
        </w:rPr>
      </w:pPr>
      <w:r>
        <w:rPr>
          <w:rFonts w:cs="Courier New" w:ascii="Courier New" w:hAnsi="Courier New"/>
          <w:b/>
          <w:sz w:val="24"/>
          <w:szCs w:val="24"/>
        </w:rPr>
        <w:t>Verifiche amministrativo-c</w:t>
      </w:r>
      <w:r>
        <w:rPr>
          <w:rFonts w:cs="Courier New" w:ascii="Courier New" w:hAnsi="Courier New"/>
          <w:b/>
          <w:bCs/>
          <w:sz w:val="24"/>
          <w:szCs w:val="24"/>
        </w:rPr>
        <w:t>ontabili sull'attuazione del progetto</w:t>
      </w:r>
    </w:p>
    <w:p>
      <w:pPr>
        <w:pStyle w:val="Normal"/>
        <w:spacing w:lineRule="auto" w:line="240"/>
        <w:jc w:val="both"/>
        <w:rPr>
          <w:rFonts w:ascii="Courier New" w:hAnsi="Courier New" w:cs="Courier New"/>
          <w:sz w:val="24"/>
          <w:szCs w:val="24"/>
        </w:rPr>
      </w:pPr>
      <w:r>
        <w:rPr>
          <w:rFonts w:cs="Courier New" w:ascii="Courier New" w:hAnsi="Courier New"/>
          <w:sz w:val="24"/>
          <w:szCs w:val="24"/>
        </w:rPr>
        <w:t>La Regione può procedere a verifiche amministrativo-contabili concernenti la realizzazione ed i risultati dell’intervento oggetto della presente convenzione in particolare attraverso:</w:t>
      </w:r>
    </w:p>
    <w:p>
      <w:pPr>
        <w:pStyle w:val="Normal"/>
        <w:spacing w:lineRule="auto" w:line="240"/>
        <w:rPr>
          <w:rFonts w:ascii="Courier New" w:hAnsi="Courier New" w:cs="Courier New"/>
          <w:sz w:val="24"/>
          <w:szCs w:val="24"/>
        </w:rPr>
      </w:pPr>
      <w:r>
        <w:rPr>
          <w:rFonts w:cs="Courier New" w:ascii="Courier New" w:hAnsi="Courier New"/>
          <w:sz w:val="24"/>
          <w:szCs w:val="24"/>
        </w:rPr>
        <w:t>- incontri periodici di verifica;</w:t>
      </w:r>
    </w:p>
    <w:p>
      <w:pPr>
        <w:pStyle w:val="Normal"/>
        <w:spacing w:lineRule="auto" w:line="240"/>
        <w:rPr>
          <w:rFonts w:ascii="Courier New" w:hAnsi="Courier New" w:cs="Courier New"/>
          <w:sz w:val="24"/>
          <w:szCs w:val="24"/>
        </w:rPr>
      </w:pPr>
      <w:r>
        <w:rPr>
          <w:rFonts w:cs="Courier New" w:ascii="Courier New" w:hAnsi="Courier New"/>
          <w:sz w:val="24"/>
          <w:szCs w:val="24"/>
        </w:rPr>
        <w:t>- relazioni periodiche sullo stato di avanzamento dell’intervento;</w:t>
      </w:r>
    </w:p>
    <w:p>
      <w:pPr>
        <w:pStyle w:val="Normal"/>
        <w:spacing w:lineRule="auto" w:line="240"/>
        <w:rPr>
          <w:rFonts w:ascii="Courier New" w:hAnsi="Courier New" w:cs="Courier New"/>
          <w:sz w:val="24"/>
          <w:szCs w:val="24"/>
        </w:rPr>
      </w:pPr>
      <w:r>
        <w:rPr>
          <w:rFonts w:cs="Courier New" w:ascii="Courier New" w:hAnsi="Courier New"/>
          <w:sz w:val="24"/>
          <w:szCs w:val="24"/>
        </w:rPr>
        <w:t>- richieste di atti e delle necessarie documentazioni.</w:t>
      </w:r>
    </w:p>
    <w:p>
      <w:pPr>
        <w:pStyle w:val="Normal"/>
        <w:spacing w:lineRule="auto" w:line="240"/>
        <w:jc w:val="both"/>
        <w:rPr>
          <w:rFonts w:ascii="Courier New" w:hAnsi="Courier New" w:cs="Courier New"/>
          <w:sz w:val="24"/>
          <w:szCs w:val="24"/>
        </w:rPr>
      </w:pPr>
      <w:r>
        <w:rPr>
          <w:rFonts w:cs="Courier New" w:ascii="Courier New" w:hAnsi="Courier New"/>
          <w:sz w:val="24"/>
          <w:szCs w:val="24"/>
        </w:rPr>
        <w:t xml:space="preserve">Nel corso della realizzazione delle azioni oggetto della convenzione la Regione può definire inoltre le forme e le modalità per riorientare le azioni previste al fine del raggiungimento dei risultati. </w:t>
      </w:r>
    </w:p>
    <w:p>
      <w:pPr>
        <w:pStyle w:val="Normal"/>
        <w:spacing w:before="0" w:after="120"/>
        <w:ind w:right="-82" w:hanging="0"/>
        <w:jc w:val="center"/>
        <w:rPr>
          <w:rFonts w:ascii="Courier New" w:hAnsi="Courier New"/>
          <w:b/>
          <w:b/>
          <w:bCs/>
          <w:sz w:val="24"/>
          <w:szCs w:val="24"/>
        </w:rPr>
      </w:pPr>
      <w:r>
        <w:rPr>
          <w:rFonts w:ascii="Courier New" w:hAnsi="Courier New"/>
          <w:b/>
          <w:bCs/>
          <w:sz w:val="24"/>
          <w:szCs w:val="24"/>
        </w:rPr>
        <w:t>Art. 9 bis</w:t>
      </w:r>
    </w:p>
    <w:p>
      <w:pPr>
        <w:pStyle w:val="Normal"/>
        <w:spacing w:before="0" w:after="120"/>
        <w:ind w:right="-82" w:hanging="0"/>
        <w:jc w:val="center"/>
        <w:rPr>
          <w:rFonts w:ascii="Courier New" w:hAnsi="Courier New"/>
          <w:b/>
          <w:b/>
          <w:bCs/>
          <w:sz w:val="24"/>
          <w:szCs w:val="24"/>
        </w:rPr>
      </w:pPr>
      <w:r>
        <w:rPr>
          <w:rFonts w:ascii="Courier New" w:hAnsi="Courier New"/>
          <w:b/>
          <w:bCs/>
          <w:sz w:val="24"/>
          <w:szCs w:val="24"/>
        </w:rPr>
        <w:t>Sicurezza e riservatezza</w:t>
      </w:r>
    </w:p>
    <w:p>
      <w:pPr>
        <w:pStyle w:val="Normal"/>
        <w:widowControl/>
        <w:numPr>
          <w:ilvl w:val="0"/>
          <w:numId w:val="7"/>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L’Ente ha l’obbligo di mantenere riservati i dati e le informazioni, ivi comprese quelle che transitano per le apparecchiature di elaborazione dati, di cui venga in possesso e comunque a conoscenza, anche tramite l'esecuzione della Convenzione, di non divulgarli in alcun modo e in qualsiasi forma, di non farne oggetto di utilizzazione a qualsiasi titolo per scopi diversi da quelli strettamente necessari all’esecuzione della Convenzione e di non farne oggetto di comunicazione o trasmissione senza l'espressa autorizzazione dell'Amministrazione regionale</w:t>
      </w:r>
      <w:r>
        <w:rPr>
          <w:rFonts w:ascii="Courier New" w:hAnsi="Courier New"/>
          <w:color w:val="FF0000"/>
          <w:sz w:val="24"/>
          <w:szCs w:val="24"/>
        </w:rPr>
        <w:t>.</w:t>
      </w:r>
    </w:p>
    <w:p>
      <w:pPr>
        <w:pStyle w:val="Normal"/>
        <w:widowControl/>
        <w:numPr>
          <w:ilvl w:val="0"/>
          <w:numId w:val="7"/>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L’obbligo di cui al precedente comma sussiste, altresì, relativamente a tutto il materiale originario o predisposto in esecuzione della Convenzione</w:t>
      </w:r>
      <w:r>
        <w:rPr>
          <w:rFonts w:ascii="Courier New" w:hAnsi="Courier New"/>
          <w:color w:val="FF0000"/>
          <w:sz w:val="24"/>
          <w:szCs w:val="24"/>
        </w:rPr>
        <w:t>.</w:t>
      </w:r>
    </w:p>
    <w:p>
      <w:pPr>
        <w:pStyle w:val="Normal"/>
        <w:widowControl/>
        <w:numPr>
          <w:ilvl w:val="0"/>
          <w:numId w:val="7"/>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L’obbligo di cui ai commi 1 e 2 non concerne i dati che siano o divengano di pubblico dominio.</w:t>
      </w:r>
    </w:p>
    <w:p>
      <w:pPr>
        <w:pStyle w:val="Normal"/>
        <w:widowControl/>
        <w:numPr>
          <w:ilvl w:val="0"/>
          <w:numId w:val="7"/>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L’Ente è responsabile per l’esatta osservanza da parte dei propri dipendenti, consulenti e collaboratori, nonché di subappaltatori e dei dipendenti, consulenti e collaboratori di questi ultimi, degli obblighi di segretezza di cui ai punti 1, 2 e 3 e risponde nei confronti dell’Amministrazione regionale per eventuali violazioni dell’obbligo di riservatezza commesse dai suddetti soggetti</w:t>
      </w:r>
      <w:r>
        <w:rPr>
          <w:rFonts w:ascii="Courier New" w:hAnsi="Courier New"/>
          <w:color w:val="FF0000"/>
          <w:sz w:val="24"/>
          <w:szCs w:val="24"/>
        </w:rPr>
        <w:t>.</w:t>
      </w:r>
    </w:p>
    <w:p>
      <w:pPr>
        <w:pStyle w:val="Normal"/>
        <w:widowControl/>
        <w:numPr>
          <w:ilvl w:val="0"/>
          <w:numId w:val="7"/>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L’Ente può utilizzare servizi di cloud pubblici ove memorizzare i dati e le informazioni trattate nell'espletamento dell'incarico affidato, solo previa autorizzazione dell’Amministrazione regionale</w:t>
      </w:r>
      <w:r>
        <w:rPr>
          <w:rFonts w:ascii="Courier New" w:hAnsi="Courier New"/>
          <w:color w:val="FF0000"/>
          <w:sz w:val="24"/>
          <w:szCs w:val="24"/>
        </w:rPr>
        <w:t>.</w:t>
      </w:r>
    </w:p>
    <w:p>
      <w:pPr>
        <w:pStyle w:val="Normal"/>
        <w:widowControl/>
        <w:numPr>
          <w:ilvl w:val="0"/>
          <w:numId w:val="7"/>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In caso di inosservanza degli obblighi descritti nei punti da 1 a 5, l’Amministrazione regionale ha facoltà di dichiarare risolta di diritto la Convenzione, fermo restando che L’Ente sarà tenuto a risarcire tutti i danni che ne dovessero derivare</w:t>
      </w:r>
      <w:r>
        <w:rPr>
          <w:rFonts w:ascii="Courier New" w:hAnsi="Courier New"/>
          <w:color w:val="FF0000"/>
          <w:sz w:val="24"/>
          <w:szCs w:val="24"/>
        </w:rPr>
        <w:t>.</w:t>
      </w:r>
    </w:p>
    <w:p>
      <w:pPr>
        <w:pStyle w:val="Normal"/>
        <w:widowControl/>
        <w:numPr>
          <w:ilvl w:val="0"/>
          <w:numId w:val="7"/>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L’Ente potrà citare i termini essenziali della Convenzione nei casi in cui fosse condizione necessaria per la propria partecipazione a gare e appalti, previa comunicazione alla Amministrazione regionale delle modalità e dei contenuti di detta citazione</w:t>
      </w:r>
      <w:r>
        <w:rPr>
          <w:rFonts w:ascii="Courier New" w:hAnsi="Courier New"/>
          <w:color w:val="FF0000"/>
          <w:sz w:val="24"/>
          <w:szCs w:val="24"/>
        </w:rPr>
        <w:t>.</w:t>
      </w:r>
    </w:p>
    <w:p>
      <w:pPr>
        <w:pStyle w:val="Normal"/>
        <w:widowControl/>
        <w:numPr>
          <w:ilvl w:val="0"/>
          <w:numId w:val="7"/>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Sarà possibile ogni operazione di auditing da parte della Amministrazione regionale attinente alle procedure adottate dal Contraente in materia di riservatezza e degli altri obblighi assunti dalla presente Convenzione</w:t>
      </w:r>
      <w:r>
        <w:rPr>
          <w:rFonts w:ascii="Courier New" w:hAnsi="Courier New"/>
          <w:color w:val="FF0000"/>
          <w:sz w:val="24"/>
          <w:szCs w:val="24"/>
        </w:rPr>
        <w:t>.</w:t>
      </w:r>
    </w:p>
    <w:p>
      <w:pPr>
        <w:pStyle w:val="Normal"/>
        <w:widowControl/>
        <w:numPr>
          <w:ilvl w:val="0"/>
          <w:numId w:val="7"/>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L’Ente non potrà conservare copia di dati e programmi della Amministrazione regionale, né alcuna documentazione inerente ad essi dopo la scadenza della Convenzione e dovrà, su richiesta, ritrasmetterli all'Amministrazione regionale.</w:t>
      </w:r>
    </w:p>
    <w:p>
      <w:pPr>
        <w:pStyle w:val="Normal"/>
        <w:spacing w:before="0" w:after="120"/>
        <w:ind w:right="-82" w:hanging="0"/>
        <w:jc w:val="center"/>
        <w:rPr>
          <w:rFonts w:ascii="Courier New" w:hAnsi="Courier New"/>
          <w:b/>
          <w:b/>
          <w:bCs/>
          <w:sz w:val="24"/>
          <w:szCs w:val="24"/>
        </w:rPr>
      </w:pPr>
      <w:r>
        <w:rPr>
          <w:rFonts w:ascii="Courier New" w:hAnsi="Courier New"/>
          <w:b/>
          <w:bCs/>
          <w:sz w:val="24"/>
          <w:szCs w:val="24"/>
        </w:rPr>
        <w:t>Art. 9 ter</w:t>
      </w:r>
    </w:p>
    <w:p>
      <w:pPr>
        <w:pStyle w:val="Normal"/>
        <w:spacing w:before="0" w:after="120"/>
        <w:ind w:right="-82" w:hanging="0"/>
        <w:jc w:val="center"/>
        <w:rPr>
          <w:rFonts w:ascii="Courier New" w:hAnsi="Courier New"/>
          <w:b/>
          <w:b/>
          <w:bCs/>
          <w:sz w:val="24"/>
          <w:szCs w:val="24"/>
        </w:rPr>
      </w:pPr>
      <w:r>
        <w:rPr>
          <w:rFonts w:ascii="Courier New" w:hAnsi="Courier New"/>
          <w:b/>
          <w:bCs/>
          <w:sz w:val="24"/>
          <w:szCs w:val="24"/>
        </w:rPr>
        <w:t>Designazione quale responsabile del trattamento dei dati personali ai sensi del Regolamento U.E. 679/2016</w:t>
      </w:r>
    </w:p>
    <w:p>
      <w:pPr>
        <w:pStyle w:val="Normal"/>
        <w:widowControl/>
        <w:numPr>
          <w:ilvl w:val="0"/>
          <w:numId w:val="8"/>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In esecuzione della presente Convenzione, L’Ente effettua trattamento di dati personali di titolarità dell’Amministrazione regionale</w:t>
      </w:r>
      <w:r>
        <w:rPr>
          <w:rFonts w:ascii="Courier New" w:hAnsi="Courier New"/>
          <w:color w:val="FF0000"/>
          <w:sz w:val="24"/>
          <w:szCs w:val="24"/>
        </w:rPr>
        <w:t>.</w:t>
      </w:r>
    </w:p>
    <w:p>
      <w:pPr>
        <w:pStyle w:val="Normal"/>
        <w:widowControl/>
        <w:numPr>
          <w:ilvl w:val="0"/>
          <w:numId w:val="8"/>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In virtù di tale trattamento, le Parti stipulano l’Accordo allegato al fine di disciplinare oneri e responsabilità in aderenza al Regolamento (UE) del Parlamento e del Consiglio europeo n. 2016/679 (di seguito, anche “GDPR”) e da ogni altra normativa applicabile</w:t>
      </w:r>
      <w:r>
        <w:rPr>
          <w:rFonts w:ascii="Courier New" w:hAnsi="Courier New"/>
          <w:color w:val="FF0000"/>
          <w:sz w:val="24"/>
          <w:szCs w:val="24"/>
        </w:rPr>
        <w:t>.</w:t>
      </w:r>
    </w:p>
    <w:p>
      <w:pPr>
        <w:pStyle w:val="Normal"/>
        <w:widowControl/>
        <w:numPr>
          <w:ilvl w:val="0"/>
          <w:numId w:val="8"/>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L’Ente è, pertanto, designato dalla Giunta della Regione Emilia-Romagna quale Responsabile del trattamento dei dati personali ai sensi e per gli effetti dell’art. 28 del Regolamento, il quale si obbliga a dare esecuzione alla Convenzione suindicata conformemente a quanto previsto dall’Accordo allegato alla presente Convenzione</w:t>
      </w:r>
      <w:r>
        <w:rPr>
          <w:rFonts w:ascii="Courier New" w:hAnsi="Courier New"/>
          <w:color w:val="FF0000"/>
          <w:sz w:val="24"/>
          <w:szCs w:val="24"/>
        </w:rPr>
        <w:t>.</w:t>
      </w:r>
    </w:p>
    <w:p>
      <w:pPr>
        <w:pStyle w:val="Normal"/>
        <w:widowControl/>
        <w:numPr>
          <w:ilvl w:val="0"/>
          <w:numId w:val="8"/>
        </w:numPr>
        <w:suppressAutoHyphens w:val="false"/>
        <w:spacing w:lineRule="auto" w:line="240" w:before="120" w:after="120"/>
        <w:ind w:left="720" w:right="-82" w:hanging="360"/>
        <w:jc w:val="both"/>
        <w:rPr>
          <w:rFonts w:ascii="Courier New" w:hAnsi="Courier New"/>
          <w:sz w:val="24"/>
          <w:szCs w:val="24"/>
        </w:rPr>
      </w:pPr>
      <w:r>
        <w:rPr>
          <w:rFonts w:ascii="Courier New" w:hAnsi="Courier New"/>
          <w:sz w:val="24"/>
          <w:szCs w:val="24"/>
        </w:rPr>
        <w:t>Le Parti riconoscono e convengono che il rispetto delle istruzioni di cui all’Accordo allegato, nonché alle prescrizioni della normativa applicabile, non producono l’insorgere di un diritto in capo al Responsabile del trattamento al rimborso delle eventuali spese che lo stesso potrebbe dover sostenere per conformarsi.</w:t>
      </w:r>
    </w:p>
    <w:p>
      <w:pPr>
        <w:pStyle w:val="Normal"/>
        <w:spacing w:before="120" w:after="120"/>
        <w:ind w:right="-82" w:hanging="0"/>
        <w:jc w:val="center"/>
        <w:rPr>
          <w:rFonts w:ascii="Courier New" w:hAnsi="Courier New" w:cs="Courier New"/>
          <w:b/>
          <w:b/>
          <w:sz w:val="24"/>
          <w:szCs w:val="24"/>
        </w:rPr>
      </w:pPr>
      <w:r>
        <w:rPr>
          <w:rFonts w:cs="Courier New" w:ascii="Courier New" w:hAnsi="Courier New"/>
          <w:b/>
          <w:sz w:val="24"/>
          <w:szCs w:val="24"/>
        </w:rPr>
        <w:t xml:space="preserve">ART. 10 </w:t>
      </w:r>
    </w:p>
    <w:p>
      <w:pPr>
        <w:pStyle w:val="Normal"/>
        <w:spacing w:before="120" w:after="120"/>
        <w:ind w:right="-82" w:hanging="0"/>
        <w:jc w:val="center"/>
        <w:rPr>
          <w:rFonts w:ascii="Courier New" w:hAnsi="Courier New" w:cs="Courier New"/>
          <w:sz w:val="24"/>
          <w:szCs w:val="24"/>
        </w:rPr>
      </w:pPr>
      <w:r>
        <w:rPr>
          <w:rFonts w:cs="Courier New" w:ascii="Courier New" w:hAnsi="Courier New"/>
          <w:b/>
          <w:sz w:val="24"/>
          <w:szCs w:val="24"/>
        </w:rPr>
        <w:t>Registrazione</w:t>
      </w:r>
    </w:p>
    <w:p>
      <w:pPr>
        <w:pStyle w:val="Normal"/>
        <w:spacing w:lineRule="auto" w:line="240" w:before="120" w:after="120"/>
        <w:ind w:right="-82" w:hanging="0"/>
        <w:jc w:val="both"/>
        <w:rPr>
          <w:rFonts w:ascii="Courier New" w:hAnsi="Courier New" w:cs="Courier New"/>
          <w:sz w:val="24"/>
          <w:szCs w:val="24"/>
        </w:rPr>
      </w:pPr>
      <w:r>
        <w:rPr>
          <w:rFonts w:cs="Courier New" w:ascii="Courier New" w:hAnsi="Courier New"/>
          <w:sz w:val="24"/>
          <w:szCs w:val="24"/>
        </w:rPr>
        <w:t>Il presente atto sarà registrato solo in caso d'uso ai sensi del D.P.R. 26 ottobre 1972, n. 634 e successive modifiche ed integrazioni, a cura e spese della parte richiedente.</w:t>
      </w:r>
    </w:p>
    <w:p>
      <w:pPr>
        <w:pStyle w:val="Normal"/>
        <w:spacing w:lineRule="auto" w:line="240" w:before="120" w:after="120"/>
        <w:ind w:right="-82" w:hanging="0"/>
        <w:jc w:val="both"/>
        <w:rPr>
          <w:rFonts w:ascii="Courier New" w:hAnsi="Courier New" w:cs="Courier New"/>
          <w:sz w:val="24"/>
          <w:szCs w:val="24"/>
        </w:rPr>
      </w:pPr>
      <w:r>
        <w:rPr>
          <w:rFonts w:cs="Courier New" w:ascii="Courier New" w:hAnsi="Courier New"/>
          <w:sz w:val="24"/>
          <w:szCs w:val="24"/>
        </w:rPr>
        <w:t>Letto, confermato e sottoscritto digitalmente ai sensi dell’art. 15 comma 2 bis della Legge 241/90 e successive modifiche.</w:t>
      </w:r>
    </w:p>
    <w:p>
      <w:pPr>
        <w:pStyle w:val="Normal"/>
        <w:spacing w:before="120" w:after="120"/>
        <w:ind w:right="-82" w:hanging="0"/>
        <w:jc w:val="both"/>
        <w:rPr>
          <w:rFonts w:ascii="Courier New" w:hAnsi="Courier New" w:cs="Courier New"/>
          <w:sz w:val="24"/>
          <w:szCs w:val="24"/>
        </w:rPr>
      </w:pPr>
      <w:r>
        <w:rPr>
          <w:rFonts w:cs="Courier New" w:ascii="Courier New" w:hAnsi="Courier New"/>
          <w:sz w:val="24"/>
          <w:szCs w:val="24"/>
        </w:rPr>
        <w:t xml:space="preserve">Per la Regione Emilia-Romagna       </w:t>
        <w:tab/>
        <w:tab/>
        <w:tab/>
        <w:t xml:space="preserve">Per . . . . . . . . </w:t>
      </w:r>
    </w:p>
    <w:p>
      <w:pPr>
        <w:pStyle w:val="Normal"/>
        <w:ind w:right="-82" w:hanging="0"/>
        <w:jc w:val="both"/>
        <w:rPr>
          <w:rFonts w:ascii="Courier New" w:hAnsi="Courier New" w:cs="Courier New"/>
          <w:sz w:val="24"/>
          <w:szCs w:val="24"/>
        </w:rPr>
      </w:pPr>
      <w:r>
        <w:rPr>
          <w:rFonts w:cs="Courier New" w:ascii="Courier New" w:hAnsi="Courier New"/>
          <w:sz w:val="24"/>
          <w:szCs w:val="24"/>
        </w:rPr>
        <w:t>Il Dirigente regionale               Il Legale rappresentante</w:t>
      </w:r>
    </w:p>
    <w:p>
      <w:pPr>
        <w:sectPr>
          <w:type w:val="nextPage"/>
          <w:pgSz w:w="11906" w:h="16838"/>
          <w:pgMar w:left="1106" w:right="1106" w:header="0" w:top="542" w:footer="0" w:bottom="1134" w:gutter="0"/>
          <w:pgNumType w:fmt="decimal"/>
          <w:formProt w:val="false"/>
          <w:textDirection w:val="lrTb"/>
          <w:docGrid w:type="default" w:linePitch="100" w:charSpace="4096"/>
        </w:sectPr>
        <w:pStyle w:val="Normal"/>
        <w:ind w:right="-82" w:hanging="0"/>
        <w:jc w:val="both"/>
        <w:rPr>
          <w:rFonts w:ascii="Courier New" w:hAnsi="Courier New" w:cs="Courier New"/>
          <w:sz w:val="24"/>
          <w:szCs w:val="24"/>
        </w:rPr>
      </w:pPr>
      <w:r>
        <w:rPr>
          <w:rFonts w:cs="Courier New" w:ascii="Courier New" w:hAnsi="Courier New"/>
          <w:sz w:val="24"/>
          <w:szCs w:val="24"/>
        </w:rPr>
        <w:t>__________________________</w:t>
        <w:tab/>
        <w:tab/>
        <w:t>_____________________________</w:t>
      </w:r>
    </w:p>
    <w:p>
      <w:pPr>
        <w:pStyle w:val="Normal"/>
        <w:ind w:right="-82" w:hanging="0"/>
        <w:jc w:val="both"/>
        <w:rPr>
          <w:rFonts w:ascii="Courier New" w:hAnsi="Courier New" w:cs="Courier New"/>
          <w:sz w:val="24"/>
          <w:szCs w:val="24"/>
        </w:rPr>
      </w:pPr>
      <w:r>
        <w:rPr>
          <w:rFonts w:cs="Courier New" w:ascii="Courier New" w:hAnsi="Courier New"/>
          <w:sz w:val="24"/>
          <w:szCs w:val="24"/>
        </w:rPr>
      </w:r>
    </w:p>
    <w:p>
      <w:pPr>
        <w:pStyle w:val="Normal"/>
        <w:spacing w:lineRule="atLeast" w:line="200"/>
        <w:rPr>
          <w:rFonts w:ascii="Courier New" w:hAnsi="Courier New" w:cs="Courier New"/>
          <w:b/>
          <w:b/>
          <w:sz w:val="24"/>
          <w:szCs w:val="24"/>
        </w:rPr>
      </w:pPr>
      <w:r>
        <w:rPr>
          <w:rFonts w:cs="Courier New" w:ascii="Courier New" w:hAnsi="Courier New"/>
          <w:b/>
          <w:sz w:val="24"/>
          <w:szCs w:val="24"/>
        </w:rPr>
        <w:t xml:space="preserve">ALLEGATO A </w:t>
      </w:r>
      <w:r>
        <w:rPr>
          <w:rFonts w:cs="Courier New" w:ascii="Courier New" w:hAnsi="Courier New"/>
          <w:b/>
          <w:bCs/>
          <w:sz w:val="24"/>
          <w:szCs w:val="24"/>
        </w:rPr>
        <w:t>Scheda di monitoraggio</w:t>
      </w:r>
      <w:r>
        <w:rPr>
          <w:rFonts w:cs="Courier New" w:ascii="Courier New" w:hAnsi="Courier New"/>
          <w:b/>
          <w:sz w:val="24"/>
          <w:szCs w:val="24"/>
        </w:rPr>
        <w:t xml:space="preserve"> allo schema di convenzione di cui all’Allegato 2)</w:t>
      </w:r>
    </w:p>
    <w:p>
      <w:pPr>
        <w:pStyle w:val="Normal"/>
        <w:keepNext w:val="true"/>
        <w:numPr>
          <w:ilvl w:val="0"/>
          <w:numId w:val="0"/>
        </w:numPr>
        <w:tabs>
          <w:tab w:val="clear" w:pos="708"/>
          <w:tab w:val="left" w:pos="284" w:leader="none"/>
          <w:tab w:val="center" w:pos="7144" w:leader="none"/>
        </w:tabs>
        <w:suppressAutoHyphens w:val="false"/>
        <w:spacing w:lineRule="auto" w:line="288" w:before="240" w:after="120"/>
        <w:ind w:left="284" w:hanging="284"/>
        <w:outlineLvl w:val="0"/>
        <w:rPr>
          <w:rFonts w:ascii="Courier New" w:hAnsi="Courier New" w:cs="Courier New"/>
          <w:bCs/>
          <w:i/>
          <w:i/>
          <w:color w:val="000000"/>
          <w:sz w:val="24"/>
          <w:szCs w:val="24"/>
          <w:lang w:eastAsia="it-IT"/>
        </w:rPr>
      </w:pPr>
      <w:r>
        <w:rPr>
          <w:rFonts w:cs="Courier New" w:ascii="Courier New" w:hAnsi="Courier New"/>
          <w:bCs/>
          <w:caps/>
          <w:color w:val="000000"/>
          <w:sz w:val="24"/>
          <w:szCs w:val="24"/>
          <w:lang w:eastAsia="it-IT"/>
        </w:rPr>
        <w:t>Stato di attuazione degli interventi alla data del (</w:t>
      </w:r>
      <w:r>
        <w:rPr>
          <w:rFonts w:cs="Courier New" w:ascii="Courier New" w:hAnsi="Courier New"/>
          <w:bCs/>
          <w:color w:val="000000"/>
          <w:sz w:val="24"/>
          <w:szCs w:val="24"/>
          <w:lang w:eastAsia="it-IT"/>
        </w:rPr>
        <w:t>gg.mm.aaaa</w:t>
      </w:r>
      <w:r>
        <w:rPr>
          <w:rFonts w:cs="Courier New" w:ascii="Courier New" w:hAnsi="Courier New"/>
          <w:bCs/>
          <w:caps/>
          <w:color w:val="000000"/>
          <w:sz w:val="24"/>
          <w:szCs w:val="24"/>
          <w:lang w:eastAsia="it-IT"/>
        </w:rPr>
        <w:t>)</w:t>
      </w:r>
      <w:r>
        <w:rPr>
          <w:rFonts w:cs="Courier New" w:ascii="Courier New" w:hAnsi="Courier New"/>
          <w:bCs/>
          <w:i/>
          <w:color w:val="000000"/>
          <w:sz w:val="24"/>
          <w:szCs w:val="24"/>
          <w:lang w:eastAsia="it-IT"/>
        </w:rPr>
        <w:t xml:space="preserve"> (inserire data della relazione)</w:t>
      </w:r>
    </w:p>
    <w:p>
      <w:pPr>
        <w:pStyle w:val="Normal"/>
        <w:spacing w:lineRule="auto" w:line="288" w:before="240" w:after="120"/>
        <w:ind w:left="284" w:hanging="284"/>
        <w:rPr>
          <w:rFonts w:ascii="Courier New" w:hAnsi="Courier New" w:cs="Courier New"/>
          <w:i/>
          <w:i/>
          <w:iCs/>
          <w:color w:val="000000" w:themeColor="text1"/>
          <w:sz w:val="24"/>
          <w:szCs w:val="24"/>
          <w:lang w:eastAsia="it-IT"/>
        </w:rPr>
      </w:pPr>
      <w:r>
        <w:rPr>
          <w:rFonts w:cs="Courier New" w:ascii="Courier New" w:hAnsi="Courier New"/>
          <w:caps/>
          <w:color w:val="000000" w:themeColor="text1"/>
          <w:sz w:val="24"/>
          <w:szCs w:val="24"/>
          <w:lang w:eastAsia="it-IT"/>
        </w:rPr>
        <w:t>note di approfondimento alla data del (</w:t>
      </w:r>
      <w:r>
        <w:rPr>
          <w:rFonts w:cs="Courier New" w:ascii="Courier New" w:hAnsi="Courier New"/>
          <w:color w:val="000000" w:themeColor="text1"/>
          <w:sz w:val="24"/>
          <w:szCs w:val="24"/>
          <w:lang w:eastAsia="it-IT"/>
        </w:rPr>
        <w:t>gg.mm.aaaa)</w:t>
      </w:r>
      <w:r>
        <w:rPr>
          <w:rFonts w:cs="Courier New" w:ascii="Courier New" w:hAnsi="Courier New"/>
          <w:caps/>
          <w:color w:val="000000" w:themeColor="text1"/>
          <w:sz w:val="24"/>
          <w:szCs w:val="24"/>
          <w:lang w:eastAsia="it-IT"/>
        </w:rPr>
        <w:t xml:space="preserve"> </w:t>
      </w:r>
      <w:r>
        <w:rPr>
          <w:rFonts w:cs="Courier New" w:ascii="Courier New" w:hAnsi="Courier New"/>
          <w:i/>
          <w:iCs/>
          <w:color w:val="000000" w:themeColor="text1"/>
          <w:sz w:val="24"/>
          <w:szCs w:val="24"/>
          <w:lang w:eastAsia="it-IT"/>
        </w:rPr>
        <w:t>(inserire data della relazione)</w:t>
      </w:r>
    </w:p>
    <w:p>
      <w:pPr>
        <w:pStyle w:val="Normal"/>
        <w:suppressAutoHyphens w:val="false"/>
        <w:spacing w:lineRule="auto" w:line="240" w:before="60" w:after="200"/>
        <w:jc w:val="both"/>
        <w:rPr>
          <w:rFonts w:ascii="Courier New" w:hAnsi="Courier New" w:cs="Courier New"/>
          <w:sz w:val="24"/>
          <w:szCs w:val="24"/>
        </w:rPr>
      </w:pPr>
      <w:r>
        <w:rPr>
          <w:rFonts w:cs="Courier New" w:ascii="Courier New" w:hAnsi="Courier New"/>
          <w:sz w:val="24"/>
          <w:szCs w:val="24"/>
          <w:lang w:eastAsia="it-IT"/>
        </w:rPr>
        <w:t>La</w:t>
      </w:r>
      <w:r>
        <w:rPr>
          <w:rFonts w:cs="Courier New" w:ascii="Courier New" w:hAnsi="Courier New"/>
          <w:sz w:val="24"/>
          <w:szCs w:val="24"/>
        </w:rPr>
        <w:t xml:space="preserve"> presente tabella va compilata obbligatoriamente per fornire informazioni sintetiche sullo stato di avanzamento del progetto. Le informazioni sintetiche vanno evidenziate nel campo “Osservazioni”.</w:t>
      </w:r>
    </w:p>
    <w:p>
      <w:pPr>
        <w:pStyle w:val="Normal"/>
        <w:suppressAutoHyphens w:val="false"/>
        <w:spacing w:lineRule="auto" w:line="240" w:before="60" w:after="200"/>
        <w:jc w:val="both"/>
        <w:rPr>
          <w:rFonts w:ascii="Courier New" w:hAnsi="Courier New" w:cs="Courier New"/>
          <w:i/>
          <w:i/>
          <w:iCs/>
          <w:sz w:val="24"/>
          <w:szCs w:val="24"/>
          <w:lang w:eastAsia="it-IT"/>
        </w:rPr>
      </w:pPr>
      <w:r>
        <w:rPr>
          <w:rFonts w:cs="Courier New" w:ascii="Courier New" w:hAnsi="Courier New"/>
          <w:sz w:val="24"/>
          <w:szCs w:val="24"/>
          <w:lang w:eastAsia="it-IT"/>
        </w:rPr>
        <w:t xml:space="preserve">(*) Osservazioni sintetiche sugli interventi, inoltre, possono essere rappresentate anche in relazione ad eventuali criticità e agli scenari tendenziali </w:t>
      </w:r>
      <w:r>
        <w:rPr>
          <w:rFonts w:cs="Courier New" w:ascii="Courier New" w:hAnsi="Courier New"/>
          <w:i/>
          <w:iCs/>
          <w:sz w:val="24"/>
          <w:szCs w:val="24"/>
          <w:lang w:eastAsia="it-IT"/>
        </w:rPr>
        <w:t>(Inserire la descrizione delle eventuali criticità e osservazioni rispetto a quanto previsto nelle stime originarie o nel precedente rapporto, quali aumenti o diminuzioni di costo, modifiche del quadro finanziario, riprogrammazione economie, variazioni del cronoprogramma, avanzamento delle procedure di evidenza pubblica).</w:t>
      </w:r>
    </w:p>
    <w:p>
      <w:pPr>
        <w:pStyle w:val="Normal"/>
        <w:suppressAutoHyphens w:val="false"/>
        <w:spacing w:lineRule="auto" w:line="240" w:before="60" w:after="200"/>
        <w:jc w:val="both"/>
        <w:rPr>
          <w:rFonts w:ascii="Courier New" w:hAnsi="Courier New" w:cs="Courier New"/>
          <w:i/>
          <w:i/>
          <w:iCs/>
          <w:sz w:val="24"/>
          <w:szCs w:val="24"/>
          <w:lang w:eastAsia="it-IT"/>
        </w:rPr>
      </w:pPr>
      <w:r>
        <w:rPr>
          <w:rFonts w:cs="Courier New" w:ascii="Courier New" w:hAnsi="Courier New"/>
          <w:sz w:val="24"/>
          <w:szCs w:val="24"/>
          <w:lang w:eastAsia="it-IT"/>
        </w:rPr>
        <w:t>(**) dati necessari alla comprensione dell’avanzamento quali/quantitativo degli interventi</w:t>
      </w:r>
      <w:r>
        <w:rPr>
          <w:rFonts w:cs="Courier New" w:ascii="Courier New" w:hAnsi="Courier New"/>
          <w:i/>
          <w:iCs/>
          <w:sz w:val="24"/>
          <w:szCs w:val="24"/>
          <w:lang w:eastAsia="it-IT"/>
        </w:rPr>
        <w:t xml:space="preserve"> </w:t>
      </w:r>
    </w:p>
    <w:p>
      <w:pPr>
        <w:pStyle w:val="Normal"/>
        <w:suppressAutoHyphens w:val="false"/>
        <w:spacing w:lineRule="auto" w:line="240" w:before="60" w:after="200"/>
        <w:jc w:val="both"/>
        <w:rPr>
          <w:rFonts w:ascii="Courier New" w:hAnsi="Courier New" w:cs="Courier New"/>
          <w:i/>
          <w:i/>
          <w:iCs/>
          <w:sz w:val="24"/>
          <w:szCs w:val="24"/>
          <w:lang w:eastAsia="it-IT"/>
        </w:rPr>
      </w:pPr>
      <w:r>
        <w:rPr>
          <w:rFonts w:cs="Courier New" w:ascii="Courier New" w:hAnsi="Courier New"/>
          <w:sz w:val="24"/>
          <w:szCs w:val="24"/>
          <w:lang w:eastAsia="it-IT"/>
        </w:rPr>
        <w:t>Attività</w:t>
      </w:r>
      <w:r>
        <w:rPr>
          <w:rFonts w:cs="Courier New" w:ascii="Courier New" w:hAnsi="Courier New"/>
          <w:i/>
          <w:iCs/>
          <w:sz w:val="24"/>
          <w:szCs w:val="24"/>
          <w:lang w:eastAsia="it-IT"/>
        </w:rPr>
        <w:t xml:space="preserve">: riportare ciascun Centro o forma di aggregazione prevista dal progetto. </w:t>
      </w:r>
    </w:p>
    <w:p>
      <w:pPr>
        <w:pStyle w:val="Normal"/>
        <w:suppressAutoHyphens w:val="false"/>
        <w:spacing w:lineRule="auto" w:line="240" w:before="60" w:after="200"/>
        <w:jc w:val="both"/>
        <w:rPr>
          <w:rFonts w:ascii="Courier New" w:hAnsi="Courier New" w:cs="Courier New"/>
          <w:i/>
          <w:i/>
          <w:iCs/>
          <w:sz w:val="24"/>
          <w:szCs w:val="24"/>
          <w:lang w:eastAsia="it-IT"/>
        </w:rPr>
      </w:pPr>
      <w:r>
        <w:rPr>
          <w:rFonts w:cs="Courier New" w:ascii="Courier New" w:hAnsi="Courier New"/>
          <w:sz w:val="24"/>
          <w:szCs w:val="24"/>
          <w:lang w:eastAsia="it-IT"/>
        </w:rPr>
        <w:t>Indicatori quantitativi:</w:t>
      </w:r>
      <w:r>
        <w:rPr>
          <w:rFonts w:cs="Courier New" w:ascii="Courier New" w:hAnsi="Courier New"/>
          <w:i/>
          <w:iCs/>
          <w:sz w:val="24"/>
          <w:szCs w:val="24"/>
          <w:lang w:eastAsia="it-IT"/>
        </w:rPr>
        <w:t xml:space="preserve"> inserire almeno il numero (cumulato dall’inizio del progetto alla data del presente report) di giovani coinvolti e/o interagenti, per ciascuno dei Centri e delle Forme di aggregazione giovanile avviate nonché ogni altro dato ritenuto utile alla comprensione dell’andamento).</w:t>
      </w:r>
    </w:p>
    <w:tbl>
      <w:tblPr>
        <w:tblW w:w="4950" w:type="pct"/>
        <w:jc w:val="left"/>
        <w:tblInd w:w="70" w:type="dxa"/>
        <w:tblCellMar>
          <w:top w:w="0" w:type="dxa"/>
          <w:left w:w="70" w:type="dxa"/>
          <w:bottom w:w="0" w:type="dxa"/>
          <w:right w:w="70" w:type="dxa"/>
        </w:tblCellMar>
        <w:tblLook w:firstRow="1" w:noVBand="1" w:lastRow="0" w:firstColumn="1" w:lastColumn="0" w:noHBand="0" w:val="04a0"/>
      </w:tblPr>
      <w:tblGrid>
        <w:gridCol w:w="1598"/>
        <w:gridCol w:w="3674"/>
        <w:gridCol w:w="2133"/>
        <w:gridCol w:w="2135"/>
      </w:tblGrid>
      <w:tr>
        <w:trPr>
          <w:tblHeader w:val="true"/>
          <w:trHeight w:val="418" w:hRule="atLeast"/>
        </w:trPr>
        <w:tc>
          <w:tcPr>
            <w:tcW w:w="1598" w:type="dxa"/>
            <w:vMerge w:val="restart"/>
            <w:tcBorders>
              <w:top w:val="single" w:sz="4" w:space="0" w:color="000000"/>
              <w:left w:val="single" w:sz="4" w:space="0" w:color="000000"/>
              <w:bottom w:val="single" w:sz="4" w:space="0" w:color="000000"/>
              <w:right w:val="single" w:sz="4" w:space="0" w:color="000000"/>
            </w:tcBorders>
            <w:shd w:color="auto" w:fill="C6D9F1" w:val="clear"/>
            <w:vAlign w:val="center"/>
          </w:tcPr>
          <w:p>
            <w:pPr>
              <w:pStyle w:val="Normal"/>
              <w:suppressAutoHyphens w:val="false"/>
              <w:spacing w:lineRule="auto" w:line="288" w:before="60" w:after="200"/>
              <w:jc w:val="center"/>
              <w:rPr>
                <w:rFonts w:ascii="Courier New" w:hAnsi="Courier New" w:cs="Courier New"/>
                <w:b/>
                <w:b/>
                <w:sz w:val="24"/>
                <w:szCs w:val="24"/>
                <w:lang w:eastAsia="it-IT"/>
              </w:rPr>
            </w:pPr>
            <w:r>
              <w:rPr>
                <w:rFonts w:cs="Courier New" w:ascii="Courier New" w:hAnsi="Courier New"/>
                <w:b/>
                <w:sz w:val="24"/>
                <w:szCs w:val="24"/>
                <w:lang w:eastAsia="it-IT"/>
              </w:rPr>
              <w:t>Codice o titolo intervento</w:t>
            </w:r>
          </w:p>
        </w:tc>
        <w:tc>
          <w:tcPr>
            <w:tcW w:w="3674" w:type="dxa"/>
            <w:vMerge w:val="restart"/>
            <w:tcBorders>
              <w:top w:val="single" w:sz="4" w:space="0" w:color="000000"/>
              <w:left w:val="single" w:sz="4" w:space="0" w:color="000000"/>
              <w:bottom w:val="single" w:sz="4" w:space="0" w:color="000000"/>
              <w:right w:val="single" w:sz="4" w:space="0" w:color="000000"/>
            </w:tcBorders>
            <w:shd w:color="auto" w:fill="C6D9F1" w:val="clear"/>
            <w:vAlign w:val="center"/>
          </w:tcPr>
          <w:p>
            <w:pPr>
              <w:pStyle w:val="Normal"/>
              <w:suppressAutoHyphens w:val="false"/>
              <w:spacing w:lineRule="auto" w:line="288" w:before="60" w:after="200"/>
              <w:jc w:val="center"/>
              <w:rPr>
                <w:rFonts w:ascii="Courier New" w:hAnsi="Courier New" w:cs="Courier New"/>
                <w:b/>
                <w:b/>
                <w:sz w:val="24"/>
                <w:szCs w:val="24"/>
                <w:lang w:eastAsia="it-IT"/>
              </w:rPr>
            </w:pPr>
            <w:r>
              <w:rPr>
                <w:rFonts w:cs="Courier New" w:ascii="Courier New" w:hAnsi="Courier New"/>
                <w:b/>
                <w:sz w:val="24"/>
                <w:szCs w:val="24"/>
                <w:lang w:eastAsia="it-IT"/>
              </w:rPr>
              <w:t>Osservazioni (*)</w:t>
            </w:r>
          </w:p>
        </w:tc>
        <w:tc>
          <w:tcPr>
            <w:tcW w:w="4268" w:type="dxa"/>
            <w:gridSpan w:val="2"/>
            <w:tcBorders>
              <w:top w:val="single" w:sz="4" w:space="0" w:color="000000"/>
              <w:left w:val="single" w:sz="4" w:space="0" w:color="000000"/>
              <w:bottom w:val="single" w:sz="4" w:space="0" w:color="000000"/>
              <w:right w:val="single" w:sz="4" w:space="0" w:color="000000"/>
            </w:tcBorders>
            <w:shd w:color="auto" w:fill="C6D9F1" w:val="clear"/>
          </w:tcPr>
          <w:p>
            <w:pPr>
              <w:pStyle w:val="Normal"/>
              <w:suppressAutoHyphens w:val="false"/>
              <w:spacing w:lineRule="auto" w:line="288" w:before="60" w:after="200"/>
              <w:jc w:val="center"/>
              <w:rPr>
                <w:rFonts w:ascii="Courier New" w:hAnsi="Courier New" w:cs="Courier New"/>
                <w:b/>
                <w:b/>
                <w:sz w:val="24"/>
                <w:szCs w:val="24"/>
                <w:lang w:eastAsia="it-IT"/>
              </w:rPr>
            </w:pPr>
            <w:r>
              <w:rPr>
                <w:rFonts w:cs="Courier New" w:ascii="Courier New" w:hAnsi="Courier New"/>
                <w:b/>
                <w:sz w:val="24"/>
                <w:szCs w:val="24"/>
                <w:lang w:eastAsia="it-IT"/>
              </w:rPr>
              <w:t>Dati(**)</w:t>
            </w:r>
          </w:p>
        </w:tc>
      </w:tr>
      <w:tr>
        <w:trPr>
          <w:tblHeader w:val="true"/>
          <w:trHeight w:val="418" w:hRule="atLeast"/>
        </w:trPr>
        <w:tc>
          <w:tcPr>
            <w:tcW w:w="1598"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false"/>
              <w:spacing w:before="0" w:after="0"/>
              <w:rPr>
                <w:rFonts w:ascii="Courier New" w:hAnsi="Courier New" w:cs="Courier New"/>
                <w:b/>
                <w:b/>
                <w:sz w:val="24"/>
                <w:szCs w:val="24"/>
                <w:lang w:eastAsia="it-IT"/>
              </w:rPr>
            </w:pPr>
            <w:r>
              <w:rPr>
                <w:rFonts w:cs="Courier New" w:ascii="Courier New" w:hAnsi="Courier New"/>
                <w:b/>
                <w:sz w:val="24"/>
                <w:szCs w:val="24"/>
                <w:lang w:eastAsia="it-IT"/>
              </w:rPr>
            </w:r>
          </w:p>
        </w:tc>
        <w:tc>
          <w:tcPr>
            <w:tcW w:w="3674"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false"/>
              <w:spacing w:before="0" w:after="0"/>
              <w:rPr>
                <w:rFonts w:ascii="Courier New" w:hAnsi="Courier New" w:cs="Courier New"/>
                <w:b/>
                <w:b/>
                <w:sz w:val="24"/>
                <w:szCs w:val="24"/>
                <w:lang w:eastAsia="it-IT"/>
              </w:rPr>
            </w:pPr>
            <w:r>
              <w:rPr>
                <w:rFonts w:cs="Courier New" w:ascii="Courier New" w:hAnsi="Courier New"/>
                <w:b/>
                <w:sz w:val="24"/>
                <w:szCs w:val="24"/>
                <w:lang w:eastAsia="it-IT"/>
              </w:rPr>
            </w:r>
          </w:p>
        </w:tc>
        <w:tc>
          <w:tcPr>
            <w:tcW w:w="2133" w:type="dxa"/>
            <w:tcBorders>
              <w:top w:val="single" w:sz="4" w:space="0" w:color="000000"/>
              <w:left w:val="single" w:sz="4" w:space="0" w:color="000000"/>
              <w:bottom w:val="single" w:sz="4" w:space="0" w:color="000000"/>
              <w:right w:val="single" w:sz="4" w:space="0" w:color="000000"/>
            </w:tcBorders>
            <w:shd w:color="auto" w:fill="C6D9F1" w:val="clear"/>
          </w:tcPr>
          <w:p>
            <w:pPr>
              <w:pStyle w:val="Normal"/>
              <w:suppressAutoHyphens w:val="false"/>
              <w:spacing w:lineRule="auto" w:line="288" w:before="60" w:after="200"/>
              <w:jc w:val="center"/>
              <w:rPr>
                <w:rFonts w:ascii="Courier New" w:hAnsi="Courier New" w:cs="Courier New"/>
                <w:b/>
                <w:b/>
                <w:sz w:val="24"/>
                <w:szCs w:val="24"/>
                <w:lang w:eastAsia="it-IT"/>
              </w:rPr>
            </w:pPr>
            <w:r>
              <w:rPr>
                <w:rFonts w:cs="Courier New" w:ascii="Courier New" w:hAnsi="Courier New"/>
                <w:b/>
                <w:sz w:val="24"/>
                <w:szCs w:val="24"/>
                <w:lang w:eastAsia="it-IT"/>
              </w:rPr>
              <w:t>Attività</w:t>
            </w:r>
          </w:p>
        </w:tc>
        <w:tc>
          <w:tcPr>
            <w:tcW w:w="2135" w:type="dxa"/>
            <w:tcBorders>
              <w:top w:val="single" w:sz="4" w:space="0" w:color="000000"/>
              <w:left w:val="single" w:sz="4" w:space="0" w:color="000000"/>
              <w:bottom w:val="single" w:sz="4" w:space="0" w:color="000000"/>
              <w:right w:val="single" w:sz="4" w:space="0" w:color="000000"/>
            </w:tcBorders>
            <w:shd w:color="auto" w:fill="C6D9F1" w:val="clear"/>
            <w:vAlign w:val="center"/>
          </w:tcPr>
          <w:p>
            <w:pPr>
              <w:pStyle w:val="Normal"/>
              <w:suppressAutoHyphens w:val="false"/>
              <w:spacing w:lineRule="auto" w:line="288" w:before="60" w:after="200"/>
              <w:jc w:val="center"/>
              <w:rPr>
                <w:rFonts w:ascii="Courier New" w:hAnsi="Courier New" w:cs="Courier New"/>
                <w:b/>
                <w:b/>
                <w:sz w:val="24"/>
                <w:szCs w:val="24"/>
                <w:lang w:eastAsia="it-IT"/>
              </w:rPr>
            </w:pPr>
            <w:r>
              <w:rPr>
                <w:rFonts w:cs="Courier New" w:ascii="Courier New" w:hAnsi="Courier New"/>
                <w:b/>
                <w:sz w:val="24"/>
                <w:szCs w:val="24"/>
                <w:lang w:eastAsia="it-IT"/>
              </w:rPr>
              <w:t>Indicatori quantitativi</w:t>
            </w:r>
          </w:p>
        </w:tc>
      </w:tr>
      <w:tr>
        <w:trPr>
          <w:trHeight w:val="567" w:hRule="atLeast"/>
        </w:trPr>
        <w:tc>
          <w:tcPr>
            <w:tcW w:w="159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false"/>
              <w:spacing w:lineRule="auto" w:line="288" w:before="60" w:after="200"/>
              <w:jc w:val="both"/>
              <w:rPr>
                <w:rFonts w:ascii="Courier New" w:hAnsi="Courier New" w:cs="Courier New"/>
                <w:sz w:val="24"/>
                <w:szCs w:val="24"/>
                <w:lang w:eastAsia="it-IT"/>
              </w:rPr>
            </w:pPr>
            <w:r>
              <w:rPr>
                <w:rFonts w:cs="Courier New" w:ascii="Courier New" w:hAnsi="Courier New"/>
                <w:sz w:val="24"/>
                <w:szCs w:val="24"/>
                <w:lang w:eastAsia="it-IT"/>
              </w:rPr>
            </w:r>
          </w:p>
        </w:tc>
        <w:tc>
          <w:tcPr>
            <w:tcW w:w="3674"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false"/>
              <w:spacing w:lineRule="auto" w:line="288" w:before="60" w:after="200"/>
              <w:jc w:val="both"/>
              <w:rPr>
                <w:rFonts w:ascii="Courier New" w:hAnsi="Courier New" w:cs="Courier New"/>
                <w:sz w:val="24"/>
                <w:szCs w:val="24"/>
                <w:lang w:eastAsia="it-IT"/>
              </w:rPr>
            </w:pPr>
            <w:r>
              <w:rPr>
                <w:rFonts w:cs="Courier New" w:ascii="Courier New" w:hAnsi="Courier New"/>
                <w:sz w:val="24"/>
                <w:szCs w:val="24"/>
                <w:lang w:eastAsia="it-IT"/>
              </w:rPr>
            </w:r>
          </w:p>
        </w:tc>
        <w:tc>
          <w:tcPr>
            <w:tcW w:w="2133"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false"/>
              <w:spacing w:lineRule="auto" w:line="288" w:before="60" w:after="200"/>
              <w:jc w:val="both"/>
              <w:rPr>
                <w:rFonts w:ascii="Courier New" w:hAnsi="Courier New" w:cs="Courier New"/>
                <w:sz w:val="24"/>
                <w:szCs w:val="24"/>
                <w:lang w:eastAsia="it-IT"/>
              </w:rPr>
            </w:pPr>
            <w:r>
              <w:rPr>
                <w:rFonts w:cs="Courier New" w:ascii="Courier New" w:hAnsi="Courier New"/>
                <w:sz w:val="24"/>
                <w:szCs w:val="24"/>
                <w:lang w:eastAsia="it-IT"/>
              </w:rPr>
            </w:r>
          </w:p>
        </w:tc>
        <w:tc>
          <w:tcPr>
            <w:tcW w:w="213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false"/>
              <w:spacing w:lineRule="auto" w:line="288" w:before="60" w:after="200"/>
              <w:jc w:val="both"/>
              <w:rPr>
                <w:rFonts w:ascii="Courier New" w:hAnsi="Courier New" w:cs="Courier New"/>
                <w:sz w:val="24"/>
                <w:szCs w:val="24"/>
                <w:lang w:eastAsia="it-IT"/>
              </w:rPr>
            </w:pPr>
            <w:r>
              <w:rPr>
                <w:rFonts w:cs="Courier New" w:ascii="Courier New" w:hAnsi="Courier New"/>
                <w:sz w:val="24"/>
                <w:szCs w:val="24"/>
                <w:lang w:eastAsia="it-IT"/>
              </w:rPr>
            </w:r>
          </w:p>
        </w:tc>
      </w:tr>
      <w:tr>
        <w:trPr>
          <w:trHeight w:val="567" w:hRule="atLeast"/>
        </w:trPr>
        <w:tc>
          <w:tcPr>
            <w:tcW w:w="159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false"/>
              <w:spacing w:lineRule="auto" w:line="288" w:before="60" w:after="200"/>
              <w:jc w:val="both"/>
              <w:rPr>
                <w:rFonts w:ascii="Courier New" w:hAnsi="Courier New" w:cs="Courier New"/>
                <w:sz w:val="24"/>
                <w:szCs w:val="24"/>
                <w:lang w:eastAsia="it-IT"/>
              </w:rPr>
            </w:pPr>
            <w:r>
              <w:rPr>
                <w:rFonts w:cs="Courier New" w:ascii="Courier New" w:hAnsi="Courier New"/>
                <w:sz w:val="24"/>
                <w:szCs w:val="24"/>
                <w:lang w:eastAsia="it-IT"/>
              </w:rPr>
            </w:r>
          </w:p>
        </w:tc>
        <w:tc>
          <w:tcPr>
            <w:tcW w:w="3674"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false"/>
              <w:spacing w:lineRule="auto" w:line="288" w:before="60" w:after="200"/>
              <w:jc w:val="both"/>
              <w:rPr>
                <w:rFonts w:ascii="Courier New" w:hAnsi="Courier New" w:cs="Courier New"/>
                <w:sz w:val="24"/>
                <w:szCs w:val="24"/>
                <w:lang w:eastAsia="it-IT"/>
              </w:rPr>
            </w:pPr>
            <w:r>
              <w:rPr>
                <w:rFonts w:cs="Courier New" w:ascii="Courier New" w:hAnsi="Courier New"/>
                <w:sz w:val="24"/>
                <w:szCs w:val="24"/>
                <w:lang w:eastAsia="it-IT"/>
              </w:rPr>
            </w:r>
          </w:p>
        </w:tc>
        <w:tc>
          <w:tcPr>
            <w:tcW w:w="2133" w:type="dxa"/>
            <w:tcBorders>
              <w:top w:val="single" w:sz="4" w:space="0" w:color="000000"/>
              <w:left w:val="single" w:sz="4" w:space="0" w:color="000000"/>
              <w:bottom w:val="single" w:sz="4" w:space="0" w:color="000000"/>
              <w:right w:val="single" w:sz="4" w:space="0" w:color="000000"/>
            </w:tcBorders>
            <w:shd w:fill="auto" w:val="clear"/>
          </w:tcPr>
          <w:p>
            <w:pPr>
              <w:pStyle w:val="Normal"/>
              <w:suppressAutoHyphens w:val="false"/>
              <w:spacing w:lineRule="auto" w:line="288" w:before="60" w:after="200"/>
              <w:jc w:val="both"/>
              <w:rPr>
                <w:rFonts w:ascii="Courier New" w:hAnsi="Courier New" w:cs="Courier New"/>
                <w:sz w:val="24"/>
                <w:szCs w:val="24"/>
                <w:lang w:eastAsia="it-IT"/>
              </w:rPr>
            </w:pPr>
            <w:r>
              <w:rPr>
                <w:rFonts w:cs="Courier New" w:ascii="Courier New" w:hAnsi="Courier New"/>
                <w:sz w:val="24"/>
                <w:szCs w:val="24"/>
                <w:lang w:eastAsia="it-IT"/>
              </w:rPr>
            </w:r>
          </w:p>
        </w:tc>
        <w:tc>
          <w:tcPr>
            <w:tcW w:w="213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uppressAutoHyphens w:val="false"/>
              <w:spacing w:lineRule="auto" w:line="288" w:before="60" w:after="200"/>
              <w:jc w:val="both"/>
              <w:rPr>
                <w:rFonts w:ascii="Courier New" w:hAnsi="Courier New" w:cs="Courier New"/>
                <w:sz w:val="24"/>
                <w:szCs w:val="24"/>
                <w:lang w:eastAsia="it-IT"/>
              </w:rPr>
            </w:pPr>
            <w:r>
              <w:rPr>
                <w:rFonts w:cs="Courier New" w:ascii="Courier New" w:hAnsi="Courier New"/>
                <w:sz w:val="24"/>
                <w:szCs w:val="24"/>
                <w:lang w:eastAsia="it-IT"/>
              </w:rPr>
            </w:r>
          </w:p>
        </w:tc>
      </w:tr>
    </w:tbl>
    <w:p>
      <w:pPr>
        <w:pStyle w:val="Normal"/>
        <w:spacing w:lineRule="atLeast" w:line="200"/>
        <w:jc w:val="both"/>
        <w:rPr>
          <w:sz w:val="24"/>
          <w:szCs w:val="24"/>
        </w:rPr>
      </w:pPr>
      <w:r>
        <w:rPr>
          <w:sz w:val="24"/>
          <w:szCs w:val="24"/>
        </w:rPr>
      </w:r>
      <w:r>
        <w:br w:type="page"/>
      </w:r>
    </w:p>
    <w:p>
      <w:pPr>
        <w:pStyle w:val="Normal"/>
        <w:ind w:right="-82" w:hanging="0"/>
        <w:rPr>
          <w:rFonts w:ascii="Courier New" w:hAnsi="Courier New"/>
          <w:b/>
          <w:b/>
          <w:bCs/>
          <w:sz w:val="24"/>
          <w:szCs w:val="24"/>
        </w:rPr>
      </w:pPr>
      <w:r>
        <w:rPr>
          <w:rFonts w:ascii="Courier New" w:hAnsi="Courier New"/>
          <w:b/>
          <w:bCs/>
          <w:sz w:val="24"/>
          <w:szCs w:val="24"/>
        </w:rPr>
        <w:t>Allegato 3)</w:t>
      </w:r>
    </w:p>
    <w:p>
      <w:pPr>
        <w:pStyle w:val="Normal"/>
        <w:spacing w:before="120" w:after="120"/>
        <w:ind w:right="-82" w:hanging="0"/>
        <w:jc w:val="center"/>
        <w:rPr>
          <w:rFonts w:ascii="Courier New" w:hAnsi="Courier New"/>
          <w:b/>
          <w:b/>
          <w:bCs/>
          <w:sz w:val="24"/>
          <w:szCs w:val="24"/>
        </w:rPr>
      </w:pPr>
      <w:r>
        <w:rPr>
          <w:rFonts w:ascii="Courier New" w:hAnsi="Courier New"/>
          <w:b/>
          <w:bCs/>
          <w:sz w:val="24"/>
          <w:szCs w:val="24"/>
        </w:rPr>
        <w:t>Accordo per il trattamento di dati personali</w:t>
      </w:r>
    </w:p>
    <w:p>
      <w:pPr>
        <w:pStyle w:val="Normal"/>
        <w:spacing w:before="120" w:after="120"/>
        <w:ind w:right="-82" w:hanging="0"/>
        <w:jc w:val="both"/>
        <w:rPr>
          <w:rFonts w:ascii="Courier New" w:hAnsi="Courier New"/>
          <w:sz w:val="24"/>
          <w:szCs w:val="24"/>
        </w:rPr>
      </w:pPr>
      <w:r>
        <w:rPr>
          <w:rFonts w:ascii="Courier New" w:hAnsi="Courier New"/>
          <w:sz w:val="24"/>
          <w:szCs w:val="24"/>
        </w:rPr>
        <w:t>Il presente accordo costituisce allegato parte integrante della Convenzione siglata tra la Giunta della Regione Emilia-Romagna e il Soggetto esterno designato ai sensi dell’art. 28 del GDPR Responsabile del trattamento di dati personali di cui la Regione Emilia-Romagna è titolare.</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1. Premesse</w:t>
      </w:r>
    </w:p>
    <w:p>
      <w:pPr>
        <w:pStyle w:val="Normal"/>
        <w:spacing w:before="120" w:after="120"/>
        <w:ind w:right="-82" w:hanging="0"/>
        <w:jc w:val="both"/>
        <w:rPr>
          <w:rFonts w:ascii="Courier New" w:hAnsi="Courier New"/>
          <w:sz w:val="24"/>
          <w:szCs w:val="24"/>
        </w:rPr>
      </w:pPr>
      <w:r>
        <w:rPr>
          <w:rFonts w:ascii="Courier New" w:hAnsi="Courier New"/>
          <w:sz w:val="24"/>
          <w:szCs w:val="24"/>
        </w:rPr>
        <w:t>(A)</w:t>
        <w:tab/>
        <w:t>Il presente Accordo si compone delle clausole di seguito rappresentate e dal Glossario.</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Le Parti convengono quanto segue: </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2.</w:t>
        <w:tab/>
        <w:t>Trattamento dei dati nel rispetto delle istruzioni della Giunta della Regione Emilia-Romagna</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2.1 </w:t>
        <w:tab/>
        <w:t xml:space="preserve">Il Responsabile del trattamento, relativamente a tutti i Dati personali che tratta per conto dell’Amministrazione regionale garantisce che: </w:t>
      </w:r>
    </w:p>
    <w:p>
      <w:pPr>
        <w:pStyle w:val="Normal"/>
        <w:spacing w:before="120" w:after="120"/>
        <w:ind w:left="708" w:right="-82" w:hanging="0"/>
        <w:jc w:val="both"/>
        <w:rPr>
          <w:rFonts w:ascii="Courier New" w:hAnsi="Courier New"/>
          <w:sz w:val="24"/>
          <w:szCs w:val="24"/>
        </w:rPr>
      </w:pPr>
      <w:r>
        <w:rPr>
          <w:rFonts w:ascii="Courier New" w:hAnsi="Courier New"/>
          <w:sz w:val="24"/>
          <w:szCs w:val="24"/>
        </w:rPr>
        <w:t xml:space="preserve">2.1.1 </w:t>
        <w:tab/>
        <w:t>tratta tali Dati personali solo ai fini dell’esecuzione dell’oggetto della Convenzione, e, successivamente, solo nel rispetto di quanto eventualmente concordato dalle Parti per iscritto, agendo pertanto, esclusivamente sulla base delle istruzioni documentate e fornite dall’Amministrazione regionale.</w:t>
      </w:r>
    </w:p>
    <w:p>
      <w:pPr>
        <w:pStyle w:val="Normal"/>
        <w:spacing w:before="120" w:after="120"/>
        <w:ind w:left="708" w:right="-82" w:hanging="0"/>
        <w:jc w:val="both"/>
        <w:rPr>
          <w:rFonts w:ascii="Courier New" w:hAnsi="Courier New"/>
          <w:sz w:val="24"/>
          <w:szCs w:val="24"/>
        </w:rPr>
      </w:pPr>
      <w:r>
        <w:rPr>
          <w:rFonts w:ascii="Courier New" w:hAnsi="Courier New"/>
          <w:sz w:val="24"/>
          <w:szCs w:val="24"/>
        </w:rPr>
        <w:t xml:space="preserve">2.1.2 </w:t>
        <w:tab/>
        <w:t>non trasferisce i Dati personali a soggetti terzi, se non nel rispetto delle condizioni di liceità assolte dall’Amministrazione regionale e a fronte di quanto disciplinato nel presente accordo</w:t>
      </w:r>
      <w:r>
        <w:rPr>
          <w:rFonts w:ascii="Courier New" w:hAnsi="Courier New"/>
          <w:color w:val="FF0000"/>
          <w:sz w:val="24"/>
          <w:szCs w:val="24"/>
        </w:rPr>
        <w:t>.</w:t>
      </w:r>
    </w:p>
    <w:p>
      <w:pPr>
        <w:pStyle w:val="Normal"/>
        <w:spacing w:before="120" w:after="120"/>
        <w:ind w:left="708" w:right="-82" w:hanging="0"/>
        <w:jc w:val="both"/>
        <w:rPr>
          <w:rFonts w:ascii="Courier New" w:hAnsi="Courier New"/>
          <w:sz w:val="24"/>
          <w:szCs w:val="24"/>
        </w:rPr>
      </w:pPr>
      <w:r>
        <w:rPr>
          <w:rFonts w:ascii="Courier New" w:hAnsi="Courier New"/>
          <w:sz w:val="24"/>
          <w:szCs w:val="24"/>
        </w:rPr>
        <w:t xml:space="preserve">2.1.3 </w:t>
        <w:tab/>
        <w:t>non tratta o utilizza i Dati personali per finalità diverse da quelle per cui è conferito incarico dall’Amministrazione regionale, financo per trattamenti aventi finalità compatibili con quelle originarie</w:t>
      </w:r>
      <w:r>
        <w:rPr>
          <w:rFonts w:ascii="Courier New" w:hAnsi="Courier New"/>
          <w:color w:val="FF0000"/>
          <w:sz w:val="24"/>
          <w:szCs w:val="24"/>
        </w:rPr>
        <w:t>.</w:t>
      </w:r>
      <w:r>
        <w:rPr>
          <w:rFonts w:ascii="Courier New" w:hAnsi="Courier New"/>
          <w:sz w:val="24"/>
          <w:szCs w:val="24"/>
        </w:rPr>
        <w:t xml:space="preserve"> </w:t>
      </w:r>
    </w:p>
    <w:p>
      <w:pPr>
        <w:pStyle w:val="Normal"/>
        <w:spacing w:before="120" w:after="120"/>
        <w:ind w:left="708" w:right="-82" w:hanging="0"/>
        <w:jc w:val="both"/>
        <w:rPr>
          <w:rFonts w:ascii="Courier New" w:hAnsi="Courier New"/>
          <w:sz w:val="24"/>
          <w:szCs w:val="24"/>
        </w:rPr>
      </w:pPr>
      <w:r>
        <w:rPr>
          <w:rFonts w:ascii="Courier New" w:hAnsi="Courier New"/>
          <w:sz w:val="24"/>
          <w:szCs w:val="24"/>
        </w:rPr>
        <w:t xml:space="preserve">2.1.4 </w:t>
        <w:tab/>
        <w:t xml:space="preserve">prima di iniziare ogni trattamento e, ove occorra, in qualsiasi altro momento, informerà l’Amministrazione regionale se, a suo parere, una qualsiasi istruzione fornita dall’Amministrazione stessa si ponga in violazione di Normativa applicabile.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2.2 </w:t>
        <w:tab/>
        <w:t xml:space="preserve">Al fine di dare seguito alle eventuali richieste da parte di soggetti interessati, il Responsabile del trattamento si obbliga ad adottare: </w:t>
      </w:r>
    </w:p>
    <w:p>
      <w:pPr>
        <w:pStyle w:val="Normal"/>
        <w:spacing w:before="120" w:after="120"/>
        <w:ind w:left="709" w:right="-82" w:hanging="0"/>
        <w:jc w:val="both"/>
        <w:rPr>
          <w:rFonts w:ascii="Courier New" w:hAnsi="Courier New"/>
          <w:sz w:val="24"/>
          <w:szCs w:val="24"/>
        </w:rPr>
      </w:pPr>
      <w:r>
        <w:rPr>
          <w:rFonts w:ascii="Courier New" w:hAnsi="Courier New"/>
          <w:sz w:val="24"/>
          <w:szCs w:val="24"/>
        </w:rPr>
        <w:t xml:space="preserve">2.2.1 procedure idonee a garantire il rispetto dei diritti e delle richieste formulate all’Amministrazione regionale dagli interessati relativamente ai loro dati personali e/o a conformarsi alle istruzioni fornite dall’Amministrazione stessa in materia; </w:t>
      </w:r>
    </w:p>
    <w:p>
      <w:pPr>
        <w:pStyle w:val="Normal"/>
        <w:spacing w:before="120" w:after="120"/>
        <w:ind w:left="709" w:right="-82" w:hanging="0"/>
        <w:jc w:val="both"/>
        <w:rPr>
          <w:rFonts w:ascii="Courier New" w:hAnsi="Courier New"/>
          <w:sz w:val="24"/>
          <w:szCs w:val="24"/>
        </w:rPr>
      </w:pPr>
      <w:r>
        <w:rPr>
          <w:rFonts w:ascii="Courier New" w:hAnsi="Courier New"/>
          <w:sz w:val="24"/>
          <w:szCs w:val="24"/>
        </w:rPr>
        <w:t>2.2.2</w:t>
        <w:tab/>
        <w:t xml:space="preserve">procedure atte a garantire l’aggiornamento, la modifica e la correzione, su richiesta dell’Amministrazione regionale dei dati personali di ogni interessato e/o a conformarsi alle istruzioni fornite dall’Amministrazione stessa in materia; </w:t>
      </w:r>
    </w:p>
    <w:p>
      <w:pPr>
        <w:pStyle w:val="Normal"/>
        <w:spacing w:before="120" w:after="120"/>
        <w:ind w:left="709" w:right="-82" w:hanging="0"/>
        <w:jc w:val="both"/>
        <w:rPr>
          <w:rFonts w:ascii="Courier New" w:hAnsi="Courier New"/>
          <w:sz w:val="24"/>
          <w:szCs w:val="24"/>
        </w:rPr>
      </w:pPr>
      <w:r>
        <w:rPr>
          <w:rFonts w:ascii="Courier New" w:hAnsi="Courier New"/>
          <w:sz w:val="24"/>
          <w:szCs w:val="24"/>
        </w:rPr>
        <w:t>2.2.3</w:t>
        <w:tab/>
        <w:t xml:space="preserve">procedure atte a garantire la cancellazione o il blocco dell’accesso ai dati personali a richiesta dall’Amministrazione regionale e/o a conformarsi alle istruzioni fornite dall’Amministrazione stessa in materia; </w:t>
      </w:r>
    </w:p>
    <w:p>
      <w:pPr>
        <w:pStyle w:val="Normal"/>
        <w:spacing w:before="120" w:after="120"/>
        <w:ind w:left="709" w:right="-82" w:hanging="0"/>
        <w:jc w:val="both"/>
        <w:rPr>
          <w:rFonts w:ascii="Courier New" w:hAnsi="Courier New"/>
          <w:sz w:val="24"/>
          <w:szCs w:val="24"/>
        </w:rPr>
      </w:pPr>
      <w:r>
        <w:rPr>
          <w:rFonts w:ascii="Courier New" w:hAnsi="Courier New"/>
          <w:sz w:val="24"/>
          <w:szCs w:val="24"/>
        </w:rPr>
        <w:t>2.2.4</w:t>
        <w:tab/>
        <w:t>procedure atte a garantire il diritto degli interessati alla limitazione di trattamento, su richiesta dell’Amministrazione regionale e/o a conformarsi alle istruzioni fornite dalla stessa in materia.</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2.3 </w:t>
        <w:tab/>
        <w:t xml:space="preserve">Il Responsabile del trattamento deve garantire e fornire all’Amministrazione regionale cooperazione, assistenza e le informazioni che potrebbero essere ragionevolmente richieste dalla stessa, per consentirle di adempiere ai propri obblighi ai sensi della normativa applicabile, ivi compresi i provvedimenti e le specifiche decisioni del Garante per la protezione dei dati personali.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2.4 </w:t>
        <w:tab/>
        <w:t>Il Responsabile del trattamento, anche nel rispetto di quanto previsto all’art. 30 del Regolamento, deve mantenere e compilare e rendere disponibile a richiesta della stessa, un registro dei trattamenti dati personali che riporti tutte le informazioni richieste dalla norma.</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2.5 </w:t>
        <w:tab/>
        <w:t xml:space="preserve">Il Responsabile del trattamento assicura la massima collaborazione al fine dell’esperimento delle valutazioni di impatto ex art. 35 del GDPR che l’Amministrazione regionale intenderà esperire sui trattamenti che rivelano, a Suo insindacabile giudizio, un rischio elevato per i diritti e le libertà delle persone fisiche. </w:t>
      </w:r>
    </w:p>
    <w:p>
      <w:pPr>
        <w:pStyle w:val="Normal"/>
        <w:spacing w:before="120" w:after="120"/>
        <w:ind w:right="-82" w:hanging="0"/>
        <w:jc w:val="both"/>
        <w:rPr>
          <w:rFonts w:ascii="Courier New" w:hAnsi="Courier New"/>
          <w:b/>
          <w:b/>
          <w:bCs/>
          <w:sz w:val="24"/>
          <w:szCs w:val="24"/>
        </w:rPr>
      </w:pPr>
      <w:r>
        <w:rPr>
          <w:rFonts w:ascii="Courier New" w:hAnsi="Courier New"/>
          <w:sz w:val="24"/>
          <w:szCs w:val="24"/>
        </w:rPr>
        <w:tab/>
      </w:r>
      <w:r>
        <w:rPr>
          <w:rFonts w:ascii="Courier New" w:hAnsi="Courier New"/>
          <w:b/>
          <w:bCs/>
          <w:sz w:val="24"/>
          <w:szCs w:val="24"/>
        </w:rPr>
        <w:t>3.</w:t>
        <w:tab/>
        <w:t>Le misure di sicurezza</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3.1 </w:t>
        <w:tab/>
        <w:t>Il Responsabile del trattamento deve adottare e mantenere appropriate misure di sicurezza, sia tecniche che organizzative, per proteggere i dati personali da eventuali distruzioni o perdite di natura illecita o accidentale, danni, alterazioni, divulgazioni o accessi non autorizzati.</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3.2 </w:t>
        <w:tab/>
        <w:t>Nei casi in cui il Responsabile effettui trattamenti di conservazione dei dati personali del Titolare nel proprio sistema informativo, garantisce la separazione di tipo logico di tali dati da quelli trattati per conto di terze parti o per proprio conto.</w:t>
      </w:r>
    </w:p>
    <w:p>
      <w:pPr>
        <w:pStyle w:val="Normal"/>
        <w:spacing w:before="120" w:after="120"/>
        <w:ind w:right="-82" w:hanging="0"/>
        <w:jc w:val="both"/>
        <w:rPr>
          <w:rFonts w:ascii="Courier New" w:hAnsi="Courier New"/>
          <w:sz w:val="24"/>
          <w:szCs w:val="24"/>
        </w:rPr>
      </w:pPr>
      <w:r>
        <w:rPr>
          <w:rFonts w:ascii="Courier New" w:hAnsi="Courier New"/>
          <w:sz w:val="24"/>
          <w:szCs w:val="24"/>
        </w:rPr>
        <w:t>3.3.</w:t>
        <w:tab/>
        <w:t>Il Responsabile del trattamento conserva, nel caso siano allo stesso affidati servizi di amministrazione di sistema, direttamente e specificamente, per ogni eventuale evenienza, gli estremi identificativi delle persone fisiche preposte quali amministratori di sistema.</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3.4 </w:t>
        <w:tab/>
        <w:t>L’Amministrazione regionale attribuisce al Responsabile del trattamento il compito di dare attuazione alla prescrizione di cui al punto 2 lettera e) “Verifica delle attività” del Provvedimento del Garante per la protezione dei dati personali del 27 novembre 2008 “Misure e accorgimenti prescritti ai titolari dei trattamenti effettuati con strumenti elettronici relativamente alle attribuzioni delle funzioni di amministratore di sistema”.</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3.5 </w:t>
        <w:tab/>
        <w:t>Il Responsabile del trattamento deve adottare misure tecniche ed organizzative adeguate a salvaguardare la sicurezza di qualsiasi rete di comunicazione elettronica o dei servizi forniti al Titolare, con specifico riferimento alle misure intese a prevenire l'intercettazione di comunicazioni o l'accesso non autorizzato a qualsiasi computer o sistema.</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3.6 </w:t>
        <w:tab/>
        <w:t>Conformemente alla disposizione di cui all’art. 28 comma 1 del Regolamento e alla valutazione delle garanzie che il Responsabile del trattamento deve presentare, lo stesso Responsabile attesta, a mezzo della sottoscrizione del presente accordo, la conformità della propria organizzazione almeno ai parametri di livello minimo di cui alle misure di sicurezza individuate da Agid la circolare n. 2/2017.</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3.7 </w:t>
        <w:tab/>
        <w:t>Il Responsabile del trattamento dà esecuzione alla Convenzione in aderenza alle policy dell’Amministrazione regionale in materia di privacy e sicurezza informatica, tra le quali:</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 xml:space="preserve">4. </w:t>
        <w:tab/>
        <w:t xml:space="preserve">Analisi dei rischi, privacy by design e privacy by default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4.1 </w:t>
        <w:tab/>
        <w:t xml:space="preserve">Con riferimento agli esiti dell’analisi dei rischi effettuata dall’Amministrazione regionale sui trattamenti di dati personali cui concorre il Responsabile del trattamento, lo stesso assicura massima cooperazione e assistenza al fine di dare effettività alle azioni di mitigazione previste dall’Amministrazione stessa per affrontare eventuali rischi identificati.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4.2 </w:t>
        <w:tab/>
        <w:t xml:space="preserve">Il Responsabile del trattamento dovrà consentire all’Amministrazione regionale, tenuto conto dello stato della tecnica, dei costi, della natura, dell’ambito e della finalità del relativo trattamento, di adottare, sia nella fase iniziale di determinazione dei mezzi di trattamento, che durante il trattamento stesso, ogni misura tecnica ed organizzativa che si riterrà opportuna per garantire ed attuare i principi previsti in materia di protezione dati e a tutelare i diritti degli interessati.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4.3 </w:t>
        <w:tab/>
        <w:t xml:space="preserve">In linea con i principi di privacy by default, dovranno essere trattati, per impostazione predefinita, esclusivamente quei dati personali necessari per ogni specifica finalità del trattamento, e che in particolare non siano accessibili dati personali ad un numero indefinito di soggetti senza l’intervento di una persona fisica. </w:t>
      </w:r>
    </w:p>
    <w:p>
      <w:pPr>
        <w:pStyle w:val="Normal"/>
        <w:spacing w:before="120" w:after="120"/>
        <w:ind w:right="-82" w:hanging="0"/>
        <w:jc w:val="both"/>
        <w:rPr/>
      </w:pPr>
      <w:r>
        <w:rPr>
          <w:rFonts w:ascii="Courier New" w:hAnsi="Courier New"/>
          <w:sz w:val="24"/>
          <w:szCs w:val="24"/>
        </w:rPr>
        <w:t xml:space="preserve">4.4 </w:t>
        <w:tab/>
        <w:t>Il Responsabile del trattamento dà esecuzione alla Convenzione in aderenza alle policy di privacy by design e by default adottate dall’Amministrazione regionale, consultabili al link</w:t>
      </w:r>
      <w:r>
        <w:rPr>
          <w:rFonts w:ascii="Courier New" w:hAnsi="Courier New"/>
          <w:color w:val="FF0000"/>
          <w:sz w:val="24"/>
          <w:szCs w:val="24"/>
        </w:rPr>
        <w:t xml:space="preserve"> </w:t>
      </w:r>
      <w:hyperlink r:id="rId2">
        <w:r>
          <w:rPr>
            <w:rStyle w:val="CollegamentoInternet"/>
            <w:rFonts w:ascii="Courier New" w:hAnsi="Courier New"/>
            <w:sz w:val="24"/>
            <w:szCs w:val="24"/>
          </w:rPr>
          <w:t>https://orma.regione.emilia-romagna.it/i/ente-atti-e-leggi/come-funziona/privacy/giunta/la-normativa-sulla-privacy</w:t>
        </w:r>
      </w:hyperlink>
      <w:r>
        <w:rPr>
          <w:rFonts w:ascii="Courier New" w:hAnsi="Courier New"/>
          <w:sz w:val="24"/>
          <w:szCs w:val="24"/>
        </w:rPr>
        <w:t>,</w:t>
      </w:r>
      <w:r>
        <w:rPr>
          <w:rFonts w:ascii="Courier New" w:hAnsi="Courier New"/>
          <w:color w:val="FF0000"/>
          <w:sz w:val="24"/>
          <w:szCs w:val="24"/>
        </w:rPr>
        <w:t xml:space="preserve"> </w:t>
      </w:r>
      <w:r>
        <w:rPr>
          <w:rFonts w:ascii="Courier New" w:hAnsi="Courier New"/>
          <w:sz w:val="24"/>
          <w:szCs w:val="24"/>
        </w:rPr>
        <w:t>che si intendono pertanto comunicate con il presente accordo.</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5.</w:t>
        <w:tab/>
        <w:t>Soggetti autorizzati ad effettuare i trattamenti - Designazione</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5.1 </w:t>
        <w:tab/>
        <w:t>Il Responsabile del trattamento garantisce competenze ed affidabilità dei propri dipendenti e collaboratori autorizzati al trattamento dei dati personali (di seguito anche incaricati) effettuati per conto dell’Amministrazione regionale.</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5.2 </w:t>
        <w:tab/>
        <w:t>Il Responsabile del trattamento garantisce che gli incaricati abbiano ricevuto adeguata formazione in materia di protezione dei dati personali e sicurezza informatica, consegnando all’Amministrazione regionale le evidenze di tale formazione.</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5.3 </w:t>
        <w:tab/>
        <w:t xml:space="preserve">Il Responsabile del trattamento, con riferimento alla protezione e gestione dei dati personali, impone ai propri incaricati obblighi di riservatezza non meno onerosi di quelli previsti nella Convenzione di cui il presente documento costituisce parte integrante. In ogni caso il Responsabile del trattamento è direttamente ritenuto responsabile per qualsiasi divulgazione di dati personali dovesse realizzarsi ad opera di tali soggetti. </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6.</w:t>
        <w:tab/>
        <w:t xml:space="preserve">Sub-Responsabili del trattamento di dati personali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6.1 </w:t>
        <w:tab/>
        <w:t>Nell’ambito dell’esecuzione della Convenzione, il Responsabile del trattamento è autorizzato sin d’ora, alla designazione di altri responsabili del trattamento (d’ora in poi anche “sub-responsabili”), previa informazione dell’Amministrazione regionale ed imponendo agli stessi condizioni vincolanti in materia di trattamento dei dati personali non meno onerose di quelle contenute nel presente Accordo.</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6.2 </w:t>
        <w:tab/>
        <w:t xml:space="preserve">Su specifica richiesta dell’Amministrazione regionale, il Responsabile del trattamento dovrà provvedere a che ogni SubResponsabile sottoscriva direttamente con l’Amministrazione stessa un accordo di trattamento dei dati che, a meno di ulteriori e specifiche esigenze, preveda sostanzialmente gli stessi termini del presente Accordo.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6.3 </w:t>
        <w:tab/>
        <w:t xml:space="preserve">In tutti i casi, il Responsabile del trattamento si assume la responsabilità nei confronti dell’Amministrazione regionale per qualsiasi violazione od omissione realizzati da un Sub-Responsabile o da altri terzi soggetti incaricati dallo stesso, indipendentemente dal fatto che il Responsabile del trattamento abbia o meno rispettato i propri obblighi contrattuali, ivi comprese le conseguenze patrimoniali derivanti da tali violazioni od omissioni. </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7.</w:t>
        <w:tab/>
        <w:t xml:space="preserve">Trattamento dei dati personali fuori dall’area economica europea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7.1 </w:t>
        <w:tab/>
        <w:t>L’Amministrazione regionale non autorizza il trasferimento dei dati personali oggetto di trattamento al di fuori dell’Unione Europea.</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8.</w:t>
        <w:tab/>
        <w:t>Cancellazione dei dati personali</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8.1 </w:t>
        <w:tab/>
        <w:t xml:space="preserve">Il Responsabile del trattamento, a richiesta del Titolare, provvede alla restituzione o cancellazione dei dati personali trattati per l’esecuzione della presente Convenzione al termine dell’affidamento o del periodo di conservazione e in qualsiasi circostanza in cui sia richiesto dall’Amministrazione regionale, compresa l’ipotesi in cui la stessa debba avvenire per dare seguito a specifica richiesta da parte di interessati. </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9.</w:t>
        <w:tab/>
        <w:t>Audit</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9.1 </w:t>
        <w:tab/>
        <w:t>Il Responsabile del trattamento si rende disponibile a specifici audit in tema di privacy e sicurezza informatica da parte dell’Amministrazione regionale.</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9.2 </w:t>
        <w:tab/>
        <w:t>Il Responsabile del trattamento consente, pertanto, all’Amministrazione regionale l’accesso ai propri locali e ai locali di qualsiasi SubResponsabile, ai computer e altri sistemi informativi, ad atti, documenti e a quanto ragionevolmente richiesto per verificare che il Responsabile del trattamento, e/o i suoi Sub-fornitori, rispettino gli obblighi derivanti dalla normativa in materia di protezione dei dati personali e, quindi, da questo Accordo.</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9.3 </w:t>
        <w:tab/>
        <w:t>L’Amministrazione regionale può esperire specifici audit anche richiedendo al Responsabile del trattamento di attestare la conformità della propria organizzazione agli oneri di cui alla Normativa applicabile e al presente Accordo.</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9.4 </w:t>
        <w:tab/>
        <w:t xml:space="preserve">L’esperimento di tali audit non deve avere ad oggetto dati di terze parti, informazioni sottoposte ad obblighi di riservatezza degli interessi commerciali.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9.5 </w:t>
        <w:tab/>
        <w:t>Il rifiuto del Responsabile del trattamento di consentire l’audit all’Amministrazione regionale comporta la risoluzione della Convenzione.</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10.</w:t>
        <w:tab/>
        <w:t>Indagini dell’Autorità e reclami</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10.1 </w:t>
        <w:tab/>
        <w:t>Nei limiti della normativa applicabile, il Responsabile del trattamento o qualsiasi SubResponsabile informa senza alcun indugio l’Amministrazione regionale di qualsiasi:</w:t>
      </w:r>
    </w:p>
    <w:p>
      <w:pPr>
        <w:pStyle w:val="Normal"/>
        <w:spacing w:before="120" w:after="120"/>
        <w:ind w:right="-82" w:firstLine="708"/>
        <w:jc w:val="both"/>
        <w:rPr>
          <w:rFonts w:ascii="Courier New" w:hAnsi="Courier New"/>
          <w:sz w:val="24"/>
          <w:szCs w:val="24"/>
        </w:rPr>
      </w:pPr>
      <w:r>
        <w:rPr>
          <w:rFonts w:ascii="Courier New" w:hAnsi="Courier New"/>
          <w:sz w:val="24"/>
          <w:szCs w:val="24"/>
        </w:rPr>
        <w:t>a)</w:t>
        <w:tab/>
        <w:t>richiesta o comunicazione promanante dal Garante per la protezione dei dati personali o da forze dell’ordine;</w:t>
      </w:r>
    </w:p>
    <w:p>
      <w:pPr>
        <w:pStyle w:val="Normal"/>
        <w:spacing w:before="120" w:after="120"/>
        <w:ind w:right="-82" w:firstLine="708"/>
        <w:jc w:val="both"/>
        <w:rPr>
          <w:rFonts w:ascii="Courier New" w:hAnsi="Courier New"/>
          <w:sz w:val="24"/>
          <w:szCs w:val="24"/>
        </w:rPr>
      </w:pPr>
      <w:r>
        <w:rPr>
          <w:rFonts w:ascii="Courier New" w:hAnsi="Courier New"/>
          <w:sz w:val="24"/>
          <w:szCs w:val="24"/>
        </w:rPr>
        <w:t>b)</w:t>
        <w:tab/>
        <w:t>istanza ricevuta da soggetti interessati;</w:t>
      </w:r>
    </w:p>
    <w:p>
      <w:pPr>
        <w:pStyle w:val="Normal"/>
        <w:spacing w:before="120" w:after="120"/>
        <w:ind w:right="-82" w:hanging="0"/>
        <w:jc w:val="both"/>
        <w:rPr>
          <w:rFonts w:ascii="Courier New" w:hAnsi="Courier New"/>
          <w:sz w:val="24"/>
          <w:szCs w:val="24"/>
        </w:rPr>
      </w:pPr>
      <w:r>
        <w:rPr>
          <w:rFonts w:ascii="Courier New" w:hAnsi="Courier New"/>
          <w:sz w:val="24"/>
          <w:szCs w:val="24"/>
        </w:rPr>
        <w:t>10.2</w:t>
        <w:tab/>
        <w:t xml:space="preserve">Il Responsabile del trattamento fornisce, in esecuzione della Convenzione e, quindi, gratuitamente, tutta la dovuta assistenza all’Amministrazione regionale per garantire che la stessa possa rispondere a tali istanze o comunicazioni nei termini temporali previsti dalla normativa e dai regolamentari applicabili. </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11.</w:t>
        <w:tab/>
        <w:t xml:space="preserve">Violazione dei dati personali e obblighi di notifica </w:t>
      </w:r>
    </w:p>
    <w:p>
      <w:pPr>
        <w:pStyle w:val="Normal"/>
        <w:spacing w:before="120" w:after="120"/>
        <w:ind w:right="-82" w:hanging="0"/>
        <w:jc w:val="both"/>
        <w:rPr>
          <w:rFonts w:ascii="Courier New" w:hAnsi="Courier New"/>
          <w:sz w:val="24"/>
          <w:szCs w:val="24"/>
        </w:rPr>
      </w:pPr>
      <w:r>
        <w:rPr>
          <w:rFonts w:ascii="Courier New" w:hAnsi="Courier New"/>
          <w:sz w:val="24"/>
          <w:szCs w:val="24"/>
        </w:rPr>
        <w:t>11.1</w:t>
        <w:tab/>
        <w:t xml:space="preserve">Il Responsabile del trattamento, in virtù di quanto previsto dall’art. 33 del Regolamento e nei limiti di cui al perimetro delle attività affidate, deve comunicare a mezzo di posta elettronica certificata all’Amministrazione regionale nel minor tempo possibile, e comunque non oltre 24 (ventiquattro) ore da quando ne abbia avuto notizia, qualsiasi violazione di sicurezza che abbia comportato accidentalmente o in modo illecito la distruzione, la perdita, la modifica, la divulgazione non autorizzata o l'accesso ai dati personali trasmessi, conservati o comunque trattati, ivi incluse quelle che abbiano riguardato i propri sub-Fornitori. Tale comunicazione deve contenere ogni informazione utile alla gestione del data breach, oltre a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a) </w:t>
        <w:tab/>
        <w:t xml:space="preserve">descrivere la natura della violazione dei dati personali;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b) </w:t>
        <w:tab/>
        <w:t>le categorie e il numero approssimativo di interessati in questione nonché le categorie e il numero approssimativo di registrazioni dei dati personali in questione;</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c) </w:t>
        <w:tab/>
        <w:t>i recapiti del DPO nominato o del soggetto competente alla gestione del data breach;</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d) </w:t>
        <w:tab/>
        <w:t>la descrizione delle probabili conseguenze della violazione dei dati personali;</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e) </w:t>
        <w:tab/>
        <w:t>una descrizione delle misure adottate o che si intende adottare per affrontare la Violazione della sicurezza, compreso, ove opportuno, misure per mitigare i suoi possibili effetti negativi;</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11.2 Il Responsabile del trattamento deve fornire tutto il supporto necessario all’Amministrazione regionale ai fini delle indagini e sulle valutazioni in ordine alla violazione di dati, anche al fine di individuare, prevenire e limitare gli effetti negativi della stessa, conformemente ai suoi obblighi ai sensi del presente articolo e, previo accordo con l’Amministrazione stessa, per svolgere qualsiasi azione che si renda necessaria per porre rimedio alla violazione stessa. Il Responsabile del trattamento non deve rilasciare, né pubblicare alcun comunicato stampa o relazione riguardante eventuali data breach o violazioni di trattamento senza aver ottenuto il previo consenso scritto dell’Amministrazione regionale. </w:t>
      </w:r>
    </w:p>
    <w:p>
      <w:pPr>
        <w:pStyle w:val="Normal"/>
        <w:spacing w:before="120" w:after="120"/>
        <w:ind w:right="-82" w:hanging="0"/>
        <w:jc w:val="both"/>
        <w:rPr>
          <w:rFonts w:ascii="Courier New" w:hAnsi="Courier New"/>
          <w:b/>
          <w:b/>
          <w:bCs/>
          <w:sz w:val="24"/>
          <w:szCs w:val="24"/>
        </w:rPr>
      </w:pPr>
      <w:r>
        <w:rPr>
          <w:rFonts w:ascii="Courier New" w:hAnsi="Courier New"/>
          <w:b/>
          <w:bCs/>
          <w:sz w:val="24"/>
          <w:szCs w:val="24"/>
        </w:rPr>
        <w:t>12.</w:t>
        <w:tab/>
        <w:t xml:space="preserve">Responsabilità e manleve </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12.1 Il Responsabile del trattamento tiene indenne e manleva l’Amministrazione regionale da ogni perdita, costo, sanzione, danno e da ogni responsabilità di qualsiasi natura derivante o in connessione con una qualsiasi violazione da parte del Responsabile del trattamento delle disposizioni contenute nel presente Accordo. </w:t>
      </w:r>
    </w:p>
    <w:p>
      <w:pPr>
        <w:pStyle w:val="Normal"/>
        <w:spacing w:before="120" w:after="120"/>
        <w:ind w:right="-82" w:hanging="0"/>
        <w:jc w:val="both"/>
        <w:rPr>
          <w:rFonts w:ascii="Courier New" w:hAnsi="Courier New"/>
          <w:sz w:val="24"/>
          <w:szCs w:val="24"/>
        </w:rPr>
      </w:pPr>
      <w:r>
        <w:rPr>
          <w:rFonts w:ascii="Courier New" w:hAnsi="Courier New"/>
          <w:sz w:val="24"/>
          <w:szCs w:val="24"/>
        </w:rPr>
        <w:t>12.2 Nel caso in cui il Responsabile del trattamento commetta violazioni alla normativa in materia di protezione dei dati personali e al presente Accordo, quali ad esempio quelle indicate all’art. 83 commi 4 e 5, l’Amministrazione regionale può risolvere la Convenzione.</w:t>
      </w:r>
    </w:p>
    <w:p>
      <w:pPr>
        <w:pStyle w:val="Normal"/>
        <w:spacing w:before="120" w:after="120"/>
        <w:ind w:right="-82" w:hanging="0"/>
        <w:jc w:val="both"/>
        <w:rPr>
          <w:rFonts w:ascii="Courier New" w:hAnsi="Courier New"/>
          <w:sz w:val="24"/>
          <w:szCs w:val="24"/>
        </w:rPr>
      </w:pPr>
      <w:r>
        <w:rPr>
          <w:rFonts w:ascii="Courier New" w:hAnsi="Courier New"/>
          <w:sz w:val="24"/>
          <w:szCs w:val="24"/>
        </w:rPr>
        <w:t xml:space="preserve">12.3 A fronte della ricezione di un reclamo relativo alle attività oggetto del presente Accordo, il Responsabile del trattamento:  </w:t>
      </w:r>
    </w:p>
    <w:p>
      <w:pPr>
        <w:pStyle w:val="ListParagraph"/>
        <w:numPr>
          <w:ilvl w:val="0"/>
          <w:numId w:val="9"/>
        </w:numPr>
        <w:spacing w:lineRule="auto" w:line="240" w:before="120" w:after="120"/>
        <w:ind w:left="720" w:right="-82" w:hanging="360"/>
        <w:jc w:val="both"/>
        <w:rPr>
          <w:rFonts w:ascii="Courier New" w:hAnsi="Courier New"/>
          <w:sz w:val="24"/>
          <w:szCs w:val="24"/>
        </w:rPr>
      </w:pPr>
      <w:r>
        <w:rPr>
          <w:rFonts w:ascii="Courier New" w:hAnsi="Courier New"/>
          <w:sz w:val="24"/>
          <w:szCs w:val="24"/>
        </w:rPr>
        <w:t xml:space="preserve">avverte, prontamente ed in forma scritta, l’Amministrazione regionale del Reclamo; </w:t>
      </w:r>
    </w:p>
    <w:p>
      <w:pPr>
        <w:pStyle w:val="ListParagraph"/>
        <w:numPr>
          <w:ilvl w:val="0"/>
          <w:numId w:val="9"/>
        </w:numPr>
        <w:spacing w:lineRule="auto" w:line="240" w:before="120" w:after="120"/>
        <w:ind w:left="720" w:right="-82" w:hanging="360"/>
        <w:jc w:val="both"/>
        <w:rPr>
          <w:rFonts w:ascii="Courier New" w:hAnsi="Courier New"/>
          <w:sz w:val="24"/>
          <w:szCs w:val="24"/>
        </w:rPr>
      </w:pPr>
      <w:r>
        <w:rPr>
          <w:rFonts w:ascii="Courier New" w:hAnsi="Courier New"/>
          <w:sz w:val="24"/>
          <w:szCs w:val="24"/>
        </w:rPr>
        <w:t>non fornisce dettagli al reclamante senza la preventiva interazione con l’Amministrazione regionale;</w:t>
      </w:r>
    </w:p>
    <w:p>
      <w:pPr>
        <w:pStyle w:val="ListParagraph"/>
        <w:numPr>
          <w:ilvl w:val="0"/>
          <w:numId w:val="9"/>
        </w:numPr>
        <w:spacing w:lineRule="auto" w:line="240" w:before="120" w:after="120"/>
        <w:ind w:left="720" w:right="-82" w:hanging="360"/>
        <w:jc w:val="both"/>
        <w:rPr>
          <w:rFonts w:ascii="Courier New" w:hAnsi="Courier New"/>
          <w:sz w:val="24"/>
          <w:szCs w:val="24"/>
        </w:rPr>
      </w:pPr>
      <w:r>
        <w:rPr>
          <w:rFonts w:ascii="Courier New" w:hAnsi="Courier New"/>
          <w:sz w:val="24"/>
          <w:szCs w:val="24"/>
        </w:rPr>
        <w:t xml:space="preserve">non transige la controversia senza il previo consenso scritto dell’Amministrazione regionale; </w:t>
      </w:r>
    </w:p>
    <w:p>
      <w:pPr>
        <w:pStyle w:val="ListParagraph"/>
        <w:numPr>
          <w:ilvl w:val="0"/>
          <w:numId w:val="9"/>
        </w:numPr>
        <w:spacing w:lineRule="auto" w:line="240" w:before="120" w:after="120"/>
        <w:ind w:left="720" w:right="-82" w:hanging="360"/>
        <w:jc w:val="both"/>
        <w:rPr>
          <w:rFonts w:ascii="Courier New" w:hAnsi="Courier New"/>
          <w:sz w:val="24"/>
          <w:szCs w:val="24"/>
        </w:rPr>
      </w:pPr>
      <w:r>
        <w:rPr>
          <w:rFonts w:ascii="Courier New" w:hAnsi="Courier New"/>
          <w:sz w:val="24"/>
          <w:szCs w:val="24"/>
        </w:rPr>
        <w:t>fornisce alla stessa tutta l'assistenza che potrebbe ragionevolmente richiedere nella gestione del reclamo.</w:t>
      </w:r>
    </w:p>
    <w:p>
      <w:pPr>
        <w:pStyle w:val="Normal"/>
        <w:spacing w:before="120" w:after="120"/>
        <w:ind w:right="-82" w:hanging="0"/>
        <w:jc w:val="both"/>
        <w:rPr>
          <w:rFonts w:ascii="Courier New" w:hAnsi="Courier New" w:cs="Courier New"/>
          <w:sz w:val="24"/>
          <w:szCs w:val="24"/>
        </w:rPr>
      </w:pPr>
      <w:r>
        <w:rPr>
          <w:rFonts w:cs="Courier New" w:ascii="Courier New" w:hAnsi="Courier New"/>
          <w:sz w:val="24"/>
          <w:szCs w:val="24"/>
        </w:rPr>
      </w:r>
    </w:p>
    <w:p>
      <w:pPr>
        <w:pStyle w:val="Normal"/>
        <w:spacing w:before="120" w:after="120"/>
        <w:ind w:right="-82" w:hanging="0"/>
        <w:jc w:val="both"/>
        <w:rPr>
          <w:rFonts w:ascii="Courier New" w:hAnsi="Courier New" w:cs="Courier New"/>
          <w:sz w:val="24"/>
          <w:szCs w:val="24"/>
        </w:rPr>
      </w:pPr>
      <w:r>
        <w:rPr>
          <w:rFonts w:cs="Courier New" w:ascii="Courier New" w:hAnsi="Courier New"/>
          <w:sz w:val="24"/>
          <w:szCs w:val="24"/>
        </w:rPr>
        <w:t>Letto, confermato e sottoscritto digitalmente ai sensi dell’art. 15 comma 2 bis della Legge 241/90 e successive modifiche.</w:t>
      </w:r>
    </w:p>
    <w:p>
      <w:pPr>
        <w:pStyle w:val="Normal"/>
        <w:spacing w:before="120" w:after="120"/>
        <w:ind w:right="-82" w:hanging="0"/>
        <w:jc w:val="both"/>
        <w:rPr/>
      </w:pPr>
      <w:r>
        <w:rPr>
          <w:rFonts w:cs="Courier New" w:ascii="Courier New" w:hAnsi="Courier New"/>
          <w:sz w:val="24"/>
          <w:szCs w:val="24"/>
        </w:rPr>
        <w:t xml:space="preserve">Per la Regione Emilia-Romagna   </w:t>
        <w:tab/>
        <w:t>Per il Comune di Reggio Emilia</w:t>
      </w:r>
    </w:p>
    <w:p>
      <w:pPr>
        <w:pStyle w:val="Normal"/>
        <w:spacing w:before="120" w:after="120"/>
        <w:ind w:right="-82" w:hanging="0"/>
        <w:jc w:val="both"/>
        <w:rPr>
          <w:rFonts w:ascii="Courier New" w:hAnsi="Courier New" w:cs="Courier New"/>
          <w:sz w:val="24"/>
          <w:szCs w:val="24"/>
        </w:rPr>
      </w:pPr>
      <w:r>
        <w:rPr>
          <w:rFonts w:cs="Courier New" w:ascii="Courier New" w:hAnsi="Courier New"/>
          <w:sz w:val="24"/>
          <w:szCs w:val="24"/>
        </w:rPr>
        <w:t xml:space="preserve">Il Dirigente regionale </w:t>
        <w:tab/>
        <w:tab/>
        <w:tab/>
        <w:t>Il Legale rappresentante</w:t>
      </w:r>
    </w:p>
    <w:p>
      <w:pPr>
        <w:pStyle w:val="Normal"/>
        <w:widowControl w:val="false"/>
        <w:suppressAutoHyphens w:val="true"/>
        <w:bidi w:val="0"/>
        <w:spacing w:lineRule="auto" w:line="276" w:before="0" w:after="200"/>
        <w:jc w:val="left"/>
        <w:rPr/>
      </w:pPr>
      <w:r>
        <w:rPr/>
      </w:r>
    </w:p>
    <w:sectPr>
      <w:type w:val="nextPage"/>
      <w:pgSz w:w="11906" w:h="16838"/>
      <w:pgMar w:left="1134" w:right="1134"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Courier New">
    <w:charset w:val="01"/>
    <w:family w:val="swiss"/>
    <w:pitch w:val="default"/>
  </w:font>
  <w:font w:name="Liberation Sans">
    <w:altName w:val="Arial"/>
    <w:charset w:val="01"/>
    <w:family w:val="swiss"/>
    <w:pitch w:val="default"/>
  </w:font>
  <w:font w:name="Arial">
    <w:charset w:val="01"/>
    <w:family w:val="swiss"/>
    <w:pitch w:val="default"/>
  </w:font>
  <w:font w:name="Arial">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Arial" w:hAnsi="Arial" w:cs="Arial" w:hint="default"/>
        <w:sz w:val="24"/>
        <w:szCs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Arial" w:hAnsi="Arial" w:cs="Arial" w:hint="default"/>
        <w:sz w:val="24"/>
        <w:szCs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lowerLetter"/>
      <w:lvlText w:val="%1)"/>
      <w:lvlJc w:val="left"/>
      <w:pPr>
        <w:ind w:left="644" w:hanging="360"/>
      </w:pPr>
      <w:rPr>
        <w:sz w:val="24"/>
        <w:b w:val="false"/>
        <w:rFonts w:ascii="Courier New" w:hAnsi="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bullet"/>
      <w:lvlText w:val="-"/>
      <w:lvlJc w:val="left"/>
      <w:pPr>
        <w:tabs>
          <w:tab w:val="num" w:pos="360"/>
        </w:tabs>
        <w:ind w:left="360" w:hanging="360"/>
      </w:pPr>
      <w:rPr>
        <w:rFonts w:ascii="Arial" w:hAnsi="Arial" w:cs="Arial" w:hint="default"/>
        <w:sz w:val="24"/>
        <w:b/>
        <w:szCs w:val="24"/>
        <w:rFonts w:cs="Courier New"/>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ind w:left="360" w:hanging="360"/>
      </w:pPr>
    </w:lvl>
    <w:lvl w:ilvl="1">
      <w:start w:val="1"/>
      <w:numFmt w:val="bullet"/>
      <w:lvlText w:val=""/>
      <w:lvlJc w:val="left"/>
      <w:pPr>
        <w:ind w:left="720" w:hanging="360"/>
      </w:pPr>
      <w:rPr>
        <w:rFonts w:ascii="Symbol" w:hAnsi="Symbol" w:cs="Symbol" w:hint="default"/>
        <w:sz w:val="24"/>
        <w:rFonts w:cs="Symbol"/>
      </w:rPr>
    </w:lvl>
    <w:lvl w:ilvl="2">
      <w:start w:val="1"/>
      <w:numFmt w:val="bullet"/>
      <w:lvlText w:val=""/>
      <w:lvlJc w:val="left"/>
      <w:pPr>
        <w:ind w:left="1080" w:hanging="360"/>
      </w:pPr>
      <w:rPr>
        <w:rFonts w:ascii="Symbol" w:hAnsi="Symbol" w:cs="Symbol" w:hint="default"/>
        <w:rFonts w:cs="Symbo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2">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2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2bcf"/>
    <w:pPr>
      <w:widowControl w:val="false"/>
      <w:suppressAutoHyphens w:val="true"/>
      <w:bidi w:val="0"/>
      <w:spacing w:lineRule="auto" w:line="276" w:before="0" w:after="200"/>
      <w:jc w:val="left"/>
    </w:pPr>
    <w:rPr>
      <w:rFonts w:ascii="Calibri" w:hAnsi="Calibri" w:eastAsia="SimSun" w:cs="Tahoma" w:asciiTheme="minorHAnsi" w:hAnsiTheme="minorHAnsi"/>
      <w:color w:val="auto"/>
      <w:kern w:val="2"/>
      <w:sz w:val="22"/>
      <w:szCs w:val="22"/>
      <w:lang w:val="it-IT" w:eastAsia="en-US" w:bidi="ar-SA"/>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semiHidden/>
    <w:unhideWhenUsed/>
    <w:rsid w:val="00f32bcf"/>
    <w:rPr>
      <w:color w:val="0000FF"/>
      <w:u w:val="single"/>
    </w:rPr>
  </w:style>
  <w:style w:type="character" w:styleId="Enfasiforte" w:customStyle="1">
    <w:name w:val="Enfasi forte"/>
    <w:uiPriority w:val="99"/>
    <w:qFormat/>
    <w:rsid w:val="00c719d4"/>
    <w:rPr>
      <w:b/>
      <w:bCs/>
    </w:rPr>
  </w:style>
  <w:style w:type="character" w:styleId="ListLabel1">
    <w:name w:val="ListLabel 1"/>
    <w:qFormat/>
    <w:rPr>
      <w:rFonts w:ascii="Courier New" w:hAnsi="Courier New" w:cs="Courier New"/>
      <w:sz w:val="24"/>
      <w:szCs w:val="24"/>
    </w:rPr>
  </w:style>
  <w:style w:type="character" w:styleId="ListLabel2">
    <w:name w:val="ListLabel 2"/>
    <w:qFormat/>
    <w:rPr>
      <w:rFonts w:cs="Courier New"/>
    </w:rPr>
  </w:style>
  <w:style w:type="character" w:styleId="ListLabel3">
    <w:name w:val="ListLabel 3"/>
    <w:qFormat/>
    <w:rPr>
      <w:rFonts w:cs="Wingdings"/>
    </w:rPr>
  </w:style>
  <w:style w:type="character" w:styleId="ListLabel4">
    <w:name w:val="ListLabel 4"/>
    <w:qFormat/>
    <w:rPr>
      <w:rFonts w:cs="Symbol"/>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ascii="Courier New" w:hAnsi="Courier New" w:cs="Courier New"/>
      <w:sz w:val="24"/>
      <w:szCs w:val="24"/>
    </w:rPr>
  </w:style>
  <w:style w:type="character" w:styleId="ListLabel11">
    <w:name w:val="ListLabel 11"/>
    <w:qFormat/>
    <w:rPr>
      <w:rFonts w:cs="Courier New"/>
    </w:rPr>
  </w:style>
  <w:style w:type="character" w:styleId="ListLabel12">
    <w:name w:val="ListLabel 12"/>
    <w:qFormat/>
    <w:rPr>
      <w:rFonts w:cs="Wingdings"/>
    </w:rPr>
  </w:style>
  <w:style w:type="character" w:styleId="ListLabel13">
    <w:name w:val="ListLabel 13"/>
    <w:qFormat/>
    <w:rPr>
      <w:rFonts w:cs="Symbol"/>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ascii="Courier New" w:hAnsi="Courier New"/>
      <w:b w:val="false"/>
      <w:sz w:val="24"/>
    </w:rPr>
  </w:style>
  <w:style w:type="character" w:styleId="ListLabel20">
    <w:name w:val="ListLabel 20"/>
    <w:qFormat/>
    <w:rPr>
      <w:rFonts w:ascii="Courier New" w:hAnsi="Courier New" w:cs="Courier New"/>
      <w:b/>
      <w:sz w:val="24"/>
      <w:szCs w:val="24"/>
    </w:rPr>
  </w:style>
  <w:style w:type="character" w:styleId="ListLabel21">
    <w:name w:val="ListLabel 21"/>
    <w:qFormat/>
    <w:rPr>
      <w:rFonts w:ascii="Courier New" w:hAnsi="Courier New" w:cs="Symbol"/>
      <w:sz w:val="24"/>
    </w:rPr>
  </w:style>
  <w:style w:type="character" w:styleId="ListLabel22">
    <w:name w:val="ListLabel 22"/>
    <w:qFormat/>
    <w:rPr>
      <w:rFonts w:cs="Symbol"/>
    </w:rPr>
  </w:style>
  <w:style w:type="character" w:styleId="ListLabel23">
    <w:name w:val="ListLabel 23"/>
    <w:qFormat/>
    <w:rPr>
      <w:rFonts w:ascii="Courier New" w:hAnsi="Courier New" w:cs="Symbol"/>
      <w:sz w:val="24"/>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ascii="Courier New" w:hAnsi="Courier New" w:cs="Symbol"/>
      <w:sz w:val="24"/>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ascii="Courier New" w:hAnsi="Courier New" w:cs="Symbol"/>
      <w:sz w:val="24"/>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cs="Symbol"/>
    </w:rPr>
  </w:style>
  <w:style w:type="character" w:styleId="ListLabel45">
    <w:name w:val="ListLabel 45"/>
    <w:qFormat/>
    <w:rPr>
      <w:rFonts w:cs="Courier New"/>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ascii="Courier New" w:hAnsi="Courier New"/>
      <w:sz w:val="24"/>
      <w:szCs w:val="24"/>
    </w:rPr>
  </w:style>
  <w:style w:type="character" w:styleId="ListLabel51">
    <w:name w:val="ListLabel 51"/>
    <w:qFormat/>
    <w:rPr>
      <w:rFonts w:ascii="Courier New" w:hAnsi="Courier New" w:cs="Courier New"/>
      <w:sz w:val="24"/>
      <w:szCs w:val="24"/>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Symbol"/>
    </w:rPr>
  </w:style>
  <w:style w:type="character" w:styleId="ListLabel58">
    <w:name w:val="ListLabel 58"/>
    <w:qFormat/>
    <w:rPr>
      <w:rFonts w:cs="Courier New"/>
    </w:rPr>
  </w:style>
  <w:style w:type="character" w:styleId="ListLabel59">
    <w:name w:val="ListLabel 59"/>
    <w:qFormat/>
    <w:rPr>
      <w:rFonts w:cs="Wingdings"/>
    </w:rPr>
  </w:style>
  <w:style w:type="character" w:styleId="ListLabel60">
    <w:name w:val="ListLabel 60"/>
    <w:qFormat/>
    <w:rPr>
      <w:rFonts w:ascii="Courier New" w:hAnsi="Courier New" w:cs="Courier New"/>
      <w:sz w:val="24"/>
      <w:szCs w:val="24"/>
    </w:rPr>
  </w:style>
  <w:style w:type="character" w:styleId="ListLabel61">
    <w:name w:val="ListLabel 61"/>
    <w:qFormat/>
    <w:rPr>
      <w:rFonts w:cs="Courier New"/>
    </w:rPr>
  </w:style>
  <w:style w:type="character" w:styleId="ListLabel62">
    <w:name w:val="ListLabel 62"/>
    <w:qFormat/>
    <w:rPr>
      <w:rFonts w:cs="Wingdings"/>
    </w:rPr>
  </w:style>
  <w:style w:type="character" w:styleId="ListLabel63">
    <w:name w:val="ListLabel 63"/>
    <w:qFormat/>
    <w:rPr>
      <w:rFonts w:cs="Symbol"/>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ascii="Courier New" w:hAnsi="Courier New"/>
      <w:b w:val="false"/>
      <w:sz w:val="24"/>
    </w:rPr>
  </w:style>
  <w:style w:type="character" w:styleId="ListLabel70">
    <w:name w:val="ListLabel 70"/>
    <w:qFormat/>
    <w:rPr>
      <w:rFonts w:ascii="Courier New" w:hAnsi="Courier New" w:cs="Courier New"/>
      <w:b/>
      <w:sz w:val="24"/>
      <w:szCs w:val="24"/>
    </w:rPr>
  </w:style>
  <w:style w:type="character" w:styleId="ListLabel71">
    <w:name w:val="ListLabel 71"/>
    <w:qFormat/>
    <w:rPr>
      <w:rFonts w:ascii="Courier New" w:hAnsi="Courier New" w:cs="Symbol"/>
      <w:sz w:val="24"/>
    </w:rPr>
  </w:style>
  <w:style w:type="character" w:styleId="ListLabel72">
    <w:name w:val="ListLabel 72"/>
    <w:qFormat/>
    <w:rPr>
      <w:rFonts w:cs="Symbol"/>
    </w:rPr>
  </w:style>
  <w:style w:type="character" w:styleId="ListLabel73">
    <w:name w:val="ListLabel 73"/>
    <w:qFormat/>
    <w:rPr>
      <w:rFonts w:ascii="Courier New" w:hAnsi="Courier New" w:cs="Symbol"/>
      <w:sz w:val="24"/>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ascii="Courier New" w:hAnsi="Courier New" w:cs="Symbol"/>
      <w:sz w:val="24"/>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cs="Symbol"/>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ascii="Courier New" w:hAnsi="Courier New" w:cs="Symbol"/>
      <w:sz w:val="24"/>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cs="Symbol"/>
    </w:rPr>
  </w:style>
  <w:style w:type="character" w:styleId="ListLabel98">
    <w:name w:val="ListLabel 98"/>
    <w:qFormat/>
    <w:rPr>
      <w:rFonts w:cs="Courier New"/>
    </w:rPr>
  </w:style>
  <w:style w:type="character" w:styleId="ListLabel99">
    <w:name w:val="ListLabel 99"/>
    <w:qFormat/>
    <w:rPr>
      <w:rFonts w:cs="Wingdings"/>
    </w:rPr>
  </w:style>
  <w:style w:type="character" w:styleId="ListLabel100">
    <w:name w:val="ListLabel 100"/>
    <w:qFormat/>
    <w:rPr>
      <w:rFonts w:ascii="Courier New" w:hAnsi="Courier New"/>
      <w:sz w:val="24"/>
      <w:szCs w:val="24"/>
    </w:rPr>
  </w:style>
  <w:style w:type="character" w:styleId="ListLabel101">
    <w:name w:val="ListLabel 101"/>
    <w:qFormat/>
    <w:rPr>
      <w:rFonts w:ascii="Courier New" w:hAnsi="Courier New" w:cs="Courier New"/>
      <w:sz w:val="24"/>
      <w:szCs w:val="24"/>
    </w:rPr>
  </w:style>
  <w:style w:type="character" w:styleId="ListLabel102">
    <w:name w:val="ListLabel 102"/>
    <w:qFormat/>
    <w:rPr>
      <w:rFonts w:cs="Courier New"/>
    </w:rPr>
  </w:style>
  <w:style w:type="character" w:styleId="ListLabel103">
    <w:name w:val="ListLabel 103"/>
    <w:qFormat/>
    <w:rPr>
      <w:rFonts w:cs="Wingdings"/>
    </w:rPr>
  </w:style>
  <w:style w:type="character" w:styleId="ListLabel104">
    <w:name w:val="ListLabel 104"/>
    <w:qFormat/>
    <w:rPr>
      <w:rFonts w:cs="Symbol"/>
    </w:rPr>
  </w:style>
  <w:style w:type="character" w:styleId="ListLabel105">
    <w:name w:val="ListLabel 105"/>
    <w:qFormat/>
    <w:rPr>
      <w:rFonts w:cs="Courier New"/>
    </w:rPr>
  </w:style>
  <w:style w:type="character" w:styleId="ListLabel106">
    <w:name w:val="ListLabel 106"/>
    <w:qFormat/>
    <w:rPr>
      <w:rFonts w:cs="Wingdings"/>
    </w:rPr>
  </w:style>
  <w:style w:type="character" w:styleId="ListLabel107">
    <w:name w:val="ListLabel 107"/>
    <w:qFormat/>
    <w:rPr>
      <w:rFonts w:cs="Symbol"/>
    </w:rPr>
  </w:style>
  <w:style w:type="character" w:styleId="ListLabel108">
    <w:name w:val="ListLabel 108"/>
    <w:qFormat/>
    <w:rPr>
      <w:rFonts w:cs="Courier New"/>
    </w:rPr>
  </w:style>
  <w:style w:type="character" w:styleId="ListLabel109">
    <w:name w:val="ListLabel 109"/>
    <w:qFormat/>
    <w:rPr>
      <w:rFonts w:cs="Wingdings"/>
    </w:rPr>
  </w:style>
  <w:style w:type="character" w:styleId="ListLabel110">
    <w:name w:val="ListLabel 110"/>
    <w:qFormat/>
    <w:rPr>
      <w:rFonts w:ascii="Courier New" w:hAnsi="Courier New" w:cs="Courier New"/>
      <w:sz w:val="24"/>
      <w:szCs w:val="24"/>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cs="Symbol"/>
    </w:rPr>
  </w:style>
  <w:style w:type="character" w:styleId="ListLabel117">
    <w:name w:val="ListLabel 117"/>
    <w:qFormat/>
    <w:rPr>
      <w:rFonts w:cs="Courier New"/>
    </w:rPr>
  </w:style>
  <w:style w:type="character" w:styleId="ListLabel118">
    <w:name w:val="ListLabel 118"/>
    <w:qFormat/>
    <w:rPr>
      <w:rFonts w:cs="Wingdings"/>
    </w:rPr>
  </w:style>
  <w:style w:type="character" w:styleId="ListLabel119">
    <w:name w:val="ListLabel 119"/>
    <w:qFormat/>
    <w:rPr>
      <w:rFonts w:ascii="Courier New" w:hAnsi="Courier New"/>
      <w:b w:val="false"/>
      <w:sz w:val="24"/>
    </w:rPr>
  </w:style>
  <w:style w:type="character" w:styleId="ListLabel120">
    <w:name w:val="ListLabel 120"/>
    <w:qFormat/>
    <w:rPr>
      <w:rFonts w:ascii="Courier New" w:hAnsi="Courier New" w:cs="Courier New"/>
      <w:b/>
      <w:sz w:val="24"/>
      <w:szCs w:val="24"/>
    </w:rPr>
  </w:style>
  <w:style w:type="character" w:styleId="ListLabel121">
    <w:name w:val="ListLabel 121"/>
    <w:qFormat/>
    <w:rPr>
      <w:rFonts w:ascii="Courier New" w:hAnsi="Courier New" w:cs="Symbol"/>
      <w:sz w:val="24"/>
    </w:rPr>
  </w:style>
  <w:style w:type="character" w:styleId="ListLabel122">
    <w:name w:val="ListLabel 122"/>
    <w:qFormat/>
    <w:rPr>
      <w:rFonts w:cs="Symbol"/>
    </w:rPr>
  </w:style>
  <w:style w:type="character" w:styleId="ListLabel123">
    <w:name w:val="ListLabel 123"/>
    <w:qFormat/>
    <w:rPr>
      <w:rFonts w:ascii="Courier New" w:hAnsi="Courier New" w:cs="Symbol"/>
      <w:sz w:val="24"/>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cs="Symbol"/>
    </w:rPr>
  </w:style>
  <w:style w:type="character" w:styleId="ListLabel127">
    <w:name w:val="ListLabel 127"/>
    <w:qFormat/>
    <w:rPr>
      <w:rFonts w:cs="Courier New"/>
    </w:rPr>
  </w:style>
  <w:style w:type="character" w:styleId="ListLabel128">
    <w:name w:val="ListLabel 128"/>
    <w:qFormat/>
    <w:rPr>
      <w:rFonts w:cs="Wingdings"/>
    </w:rPr>
  </w:style>
  <w:style w:type="character" w:styleId="ListLabel129">
    <w:name w:val="ListLabel 129"/>
    <w:qFormat/>
    <w:rPr>
      <w:rFonts w:cs="Symbol"/>
    </w:rPr>
  </w:style>
  <w:style w:type="character" w:styleId="ListLabel130">
    <w:name w:val="ListLabel 130"/>
    <w:qFormat/>
    <w:rPr>
      <w:rFonts w:cs="Courier New"/>
    </w:rPr>
  </w:style>
  <w:style w:type="character" w:styleId="ListLabel131">
    <w:name w:val="ListLabel 131"/>
    <w:qFormat/>
    <w:rPr>
      <w:rFonts w:cs="Wingdings"/>
    </w:rPr>
  </w:style>
  <w:style w:type="character" w:styleId="ListLabel132">
    <w:name w:val="ListLabel 132"/>
    <w:qFormat/>
    <w:rPr>
      <w:rFonts w:ascii="Courier New" w:hAnsi="Courier New" w:cs="Symbol"/>
      <w:sz w:val="24"/>
    </w:rPr>
  </w:style>
  <w:style w:type="character" w:styleId="ListLabel133">
    <w:name w:val="ListLabel 133"/>
    <w:qFormat/>
    <w:rPr>
      <w:rFonts w:cs="Courier New"/>
    </w:rPr>
  </w:style>
  <w:style w:type="character" w:styleId="ListLabel134">
    <w:name w:val="ListLabel 134"/>
    <w:qFormat/>
    <w:rPr>
      <w:rFonts w:cs="Wingdings"/>
    </w:rPr>
  </w:style>
  <w:style w:type="character" w:styleId="ListLabel135">
    <w:name w:val="ListLabel 135"/>
    <w:qFormat/>
    <w:rPr>
      <w:rFonts w:cs="Symbol"/>
    </w:rPr>
  </w:style>
  <w:style w:type="character" w:styleId="ListLabel136">
    <w:name w:val="ListLabel 136"/>
    <w:qFormat/>
    <w:rPr>
      <w:rFonts w:cs="Courier New"/>
    </w:rPr>
  </w:style>
  <w:style w:type="character" w:styleId="ListLabel137">
    <w:name w:val="ListLabel 137"/>
    <w:qFormat/>
    <w:rPr>
      <w:rFonts w:cs="Wingdings"/>
    </w:rPr>
  </w:style>
  <w:style w:type="character" w:styleId="ListLabel138">
    <w:name w:val="ListLabel 138"/>
    <w:qFormat/>
    <w:rPr>
      <w:rFonts w:cs="Symbol"/>
    </w:rPr>
  </w:style>
  <w:style w:type="character" w:styleId="ListLabel139">
    <w:name w:val="ListLabel 139"/>
    <w:qFormat/>
    <w:rPr>
      <w:rFonts w:cs="Courier New"/>
    </w:rPr>
  </w:style>
  <w:style w:type="character" w:styleId="ListLabel140">
    <w:name w:val="ListLabel 140"/>
    <w:qFormat/>
    <w:rPr>
      <w:rFonts w:cs="Wingdings"/>
    </w:rPr>
  </w:style>
  <w:style w:type="character" w:styleId="ListLabel141">
    <w:name w:val="ListLabel 141"/>
    <w:qFormat/>
    <w:rPr>
      <w:rFonts w:ascii="Courier New" w:hAnsi="Courier New" w:cs="Symbol"/>
      <w:sz w:val="24"/>
    </w:rPr>
  </w:style>
  <w:style w:type="character" w:styleId="ListLabel142">
    <w:name w:val="ListLabel 142"/>
    <w:qFormat/>
    <w:rPr>
      <w:rFonts w:cs="Courier New"/>
    </w:rPr>
  </w:style>
  <w:style w:type="character" w:styleId="ListLabel143">
    <w:name w:val="ListLabel 143"/>
    <w:qFormat/>
    <w:rPr>
      <w:rFonts w:cs="Wingdings"/>
    </w:rPr>
  </w:style>
  <w:style w:type="character" w:styleId="ListLabel144">
    <w:name w:val="ListLabel 144"/>
    <w:qFormat/>
    <w:rPr>
      <w:rFonts w:cs="Symbol"/>
    </w:rPr>
  </w:style>
  <w:style w:type="character" w:styleId="ListLabel145">
    <w:name w:val="ListLabel 145"/>
    <w:qFormat/>
    <w:rPr>
      <w:rFonts w:cs="Courier New"/>
    </w:rPr>
  </w:style>
  <w:style w:type="character" w:styleId="ListLabel146">
    <w:name w:val="ListLabel 146"/>
    <w:qFormat/>
    <w:rPr>
      <w:rFonts w:cs="Wingdings"/>
    </w:rPr>
  </w:style>
  <w:style w:type="character" w:styleId="ListLabel147">
    <w:name w:val="ListLabel 147"/>
    <w:qFormat/>
    <w:rPr>
      <w:rFonts w:cs="Symbol"/>
    </w:rPr>
  </w:style>
  <w:style w:type="character" w:styleId="ListLabel148">
    <w:name w:val="ListLabel 148"/>
    <w:qFormat/>
    <w:rPr>
      <w:rFonts w:cs="Courier New"/>
    </w:rPr>
  </w:style>
  <w:style w:type="character" w:styleId="ListLabel149">
    <w:name w:val="ListLabel 149"/>
    <w:qFormat/>
    <w:rPr>
      <w:rFonts w:cs="Wingdings"/>
    </w:rPr>
  </w:style>
  <w:style w:type="character" w:styleId="ListLabel150">
    <w:name w:val="ListLabel 150"/>
    <w:qFormat/>
    <w:rPr>
      <w:rFonts w:ascii="Courier New" w:hAnsi="Courier New"/>
      <w:sz w:val="24"/>
      <w:szCs w:val="24"/>
    </w:rPr>
  </w:style>
  <w:style w:type="character" w:styleId="ListLabel151">
    <w:name w:val="ListLabel 151"/>
    <w:qFormat/>
    <w:rPr>
      <w:rFonts w:ascii="Courier New" w:hAnsi="Courier New" w:cs="Courier New"/>
      <w:sz w:val="24"/>
      <w:szCs w:val="24"/>
    </w:rPr>
  </w:style>
  <w:style w:type="character" w:styleId="ListLabel152">
    <w:name w:val="ListLabel 152"/>
    <w:qFormat/>
    <w:rPr>
      <w:rFonts w:cs="Courier New"/>
    </w:rPr>
  </w:style>
  <w:style w:type="character" w:styleId="ListLabel153">
    <w:name w:val="ListLabel 153"/>
    <w:qFormat/>
    <w:rPr>
      <w:rFonts w:cs="Wingdings"/>
    </w:rPr>
  </w:style>
  <w:style w:type="character" w:styleId="ListLabel154">
    <w:name w:val="ListLabel 154"/>
    <w:qFormat/>
    <w:rPr>
      <w:rFonts w:cs="Symbol"/>
    </w:rPr>
  </w:style>
  <w:style w:type="character" w:styleId="ListLabel155">
    <w:name w:val="ListLabel 155"/>
    <w:qFormat/>
    <w:rPr>
      <w:rFonts w:cs="Courier New"/>
    </w:rPr>
  </w:style>
  <w:style w:type="character" w:styleId="ListLabel156">
    <w:name w:val="ListLabel 156"/>
    <w:qFormat/>
    <w:rPr>
      <w:rFonts w:cs="Wingdings"/>
    </w:rPr>
  </w:style>
  <w:style w:type="character" w:styleId="ListLabel157">
    <w:name w:val="ListLabel 157"/>
    <w:qFormat/>
    <w:rPr>
      <w:rFonts w:cs="Symbol"/>
    </w:rPr>
  </w:style>
  <w:style w:type="character" w:styleId="ListLabel158">
    <w:name w:val="ListLabel 158"/>
    <w:qFormat/>
    <w:rPr>
      <w:rFonts w:cs="Courier New"/>
    </w:rPr>
  </w:style>
  <w:style w:type="character" w:styleId="ListLabel159">
    <w:name w:val="ListLabel 159"/>
    <w:qFormat/>
    <w:rPr>
      <w:rFonts w:cs="Wingdings"/>
    </w:rPr>
  </w:style>
  <w:style w:type="character" w:styleId="ListLabel160">
    <w:name w:val="ListLabel 160"/>
    <w:qFormat/>
    <w:rPr>
      <w:rFonts w:ascii="Courier New" w:hAnsi="Courier New" w:cs="Courier New"/>
      <w:sz w:val="24"/>
      <w:szCs w:val="24"/>
    </w:rPr>
  </w:style>
  <w:style w:type="character" w:styleId="ListLabel161">
    <w:name w:val="ListLabel 161"/>
    <w:qFormat/>
    <w:rPr>
      <w:rFonts w:cs="Courier New"/>
    </w:rPr>
  </w:style>
  <w:style w:type="character" w:styleId="ListLabel162">
    <w:name w:val="ListLabel 162"/>
    <w:qFormat/>
    <w:rPr>
      <w:rFonts w:cs="Wingdings"/>
    </w:rPr>
  </w:style>
  <w:style w:type="character" w:styleId="ListLabel163">
    <w:name w:val="ListLabel 163"/>
    <w:qFormat/>
    <w:rPr>
      <w:rFonts w:cs="Symbol"/>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ascii="Courier New" w:hAnsi="Courier New"/>
      <w:b w:val="false"/>
      <w:sz w:val="24"/>
    </w:rPr>
  </w:style>
  <w:style w:type="character" w:styleId="ListLabel170">
    <w:name w:val="ListLabel 170"/>
    <w:qFormat/>
    <w:rPr>
      <w:rFonts w:ascii="Courier New" w:hAnsi="Courier New" w:cs="Courier New"/>
      <w:b/>
      <w:sz w:val="24"/>
      <w:szCs w:val="24"/>
    </w:rPr>
  </w:style>
  <w:style w:type="character" w:styleId="ListLabel171">
    <w:name w:val="ListLabel 171"/>
    <w:qFormat/>
    <w:rPr>
      <w:rFonts w:ascii="Courier New" w:hAnsi="Courier New" w:cs="Symbol"/>
      <w:sz w:val="24"/>
    </w:rPr>
  </w:style>
  <w:style w:type="character" w:styleId="ListLabel172">
    <w:name w:val="ListLabel 172"/>
    <w:qFormat/>
    <w:rPr>
      <w:rFonts w:cs="Symbol"/>
    </w:rPr>
  </w:style>
  <w:style w:type="character" w:styleId="ListLabel173">
    <w:name w:val="ListLabel 173"/>
    <w:qFormat/>
    <w:rPr>
      <w:rFonts w:cs="Symbol"/>
      <w:sz w:val="24"/>
    </w:rPr>
  </w:style>
  <w:style w:type="character" w:styleId="ListLabel174">
    <w:name w:val="ListLabel 174"/>
    <w:qFormat/>
    <w:rPr>
      <w:rFonts w:cs="Courier New"/>
    </w:rPr>
  </w:style>
  <w:style w:type="character" w:styleId="ListLabel175">
    <w:name w:val="ListLabel 175"/>
    <w:qFormat/>
    <w:rPr>
      <w:rFonts w:cs="Wingdings"/>
    </w:rPr>
  </w:style>
  <w:style w:type="character" w:styleId="ListLabel176">
    <w:name w:val="ListLabel 176"/>
    <w:qFormat/>
    <w:rPr>
      <w:rFonts w:cs="Symbol"/>
    </w:rPr>
  </w:style>
  <w:style w:type="character" w:styleId="ListLabel177">
    <w:name w:val="ListLabel 177"/>
    <w:qFormat/>
    <w:rPr>
      <w:rFonts w:cs="Courier New"/>
    </w:rPr>
  </w:style>
  <w:style w:type="character" w:styleId="ListLabel178">
    <w:name w:val="ListLabel 178"/>
    <w:qFormat/>
    <w:rPr>
      <w:rFonts w:cs="Wingdings"/>
    </w:rPr>
  </w:style>
  <w:style w:type="character" w:styleId="ListLabel179">
    <w:name w:val="ListLabel 179"/>
    <w:qFormat/>
    <w:rPr>
      <w:rFonts w:cs="Symbol"/>
    </w:rPr>
  </w:style>
  <w:style w:type="character" w:styleId="ListLabel180">
    <w:name w:val="ListLabel 180"/>
    <w:qFormat/>
    <w:rPr>
      <w:rFonts w:cs="Courier New"/>
    </w:rPr>
  </w:style>
  <w:style w:type="character" w:styleId="ListLabel181">
    <w:name w:val="ListLabel 181"/>
    <w:qFormat/>
    <w:rPr>
      <w:rFonts w:cs="Wingdings"/>
    </w:rPr>
  </w:style>
  <w:style w:type="character" w:styleId="ListLabel182">
    <w:name w:val="ListLabel 182"/>
    <w:qFormat/>
    <w:rPr>
      <w:rFonts w:cs="Symbol"/>
      <w:sz w:val="24"/>
    </w:rPr>
  </w:style>
  <w:style w:type="character" w:styleId="ListLabel183">
    <w:name w:val="ListLabel 183"/>
    <w:qFormat/>
    <w:rPr>
      <w:rFonts w:cs="Courier New"/>
    </w:rPr>
  </w:style>
  <w:style w:type="character" w:styleId="ListLabel184">
    <w:name w:val="ListLabel 184"/>
    <w:qFormat/>
    <w:rPr>
      <w:rFonts w:cs="Wingdings"/>
    </w:rPr>
  </w:style>
  <w:style w:type="character" w:styleId="ListLabel185">
    <w:name w:val="ListLabel 185"/>
    <w:qFormat/>
    <w:rPr>
      <w:rFonts w:cs="Symbol"/>
    </w:rPr>
  </w:style>
  <w:style w:type="character" w:styleId="ListLabel186">
    <w:name w:val="ListLabel 186"/>
    <w:qFormat/>
    <w:rPr>
      <w:rFonts w:cs="Courier New"/>
    </w:rPr>
  </w:style>
  <w:style w:type="character" w:styleId="ListLabel187">
    <w:name w:val="ListLabel 187"/>
    <w:qFormat/>
    <w:rPr>
      <w:rFonts w:cs="Wingdings"/>
    </w:rPr>
  </w:style>
  <w:style w:type="character" w:styleId="ListLabel188">
    <w:name w:val="ListLabel 188"/>
    <w:qFormat/>
    <w:rPr>
      <w:rFonts w:cs="Symbol"/>
    </w:rPr>
  </w:style>
  <w:style w:type="character" w:styleId="ListLabel189">
    <w:name w:val="ListLabel 189"/>
    <w:qFormat/>
    <w:rPr>
      <w:rFonts w:cs="Courier New"/>
    </w:rPr>
  </w:style>
  <w:style w:type="character" w:styleId="ListLabel190">
    <w:name w:val="ListLabel 190"/>
    <w:qFormat/>
    <w:rPr>
      <w:rFonts w:cs="Wingdings"/>
    </w:rPr>
  </w:style>
  <w:style w:type="character" w:styleId="ListLabel191">
    <w:name w:val="ListLabel 191"/>
    <w:qFormat/>
    <w:rPr>
      <w:rFonts w:ascii="Courier New" w:hAnsi="Courier New" w:cs="Symbol"/>
      <w:sz w:val="24"/>
    </w:rPr>
  </w:style>
  <w:style w:type="character" w:styleId="ListLabel192">
    <w:name w:val="ListLabel 192"/>
    <w:qFormat/>
    <w:rPr>
      <w:rFonts w:cs="Courier New"/>
    </w:rPr>
  </w:style>
  <w:style w:type="character" w:styleId="ListLabel193">
    <w:name w:val="ListLabel 193"/>
    <w:qFormat/>
    <w:rPr>
      <w:rFonts w:cs="Wingdings"/>
    </w:rPr>
  </w:style>
  <w:style w:type="character" w:styleId="ListLabel194">
    <w:name w:val="ListLabel 194"/>
    <w:qFormat/>
    <w:rPr>
      <w:rFonts w:cs="Symbol"/>
    </w:rPr>
  </w:style>
  <w:style w:type="character" w:styleId="ListLabel195">
    <w:name w:val="ListLabel 195"/>
    <w:qFormat/>
    <w:rPr>
      <w:rFonts w:cs="Courier New"/>
    </w:rPr>
  </w:style>
  <w:style w:type="character" w:styleId="ListLabel196">
    <w:name w:val="ListLabel 196"/>
    <w:qFormat/>
    <w:rPr>
      <w:rFonts w:cs="Wingdings"/>
    </w:rPr>
  </w:style>
  <w:style w:type="character" w:styleId="ListLabel197">
    <w:name w:val="ListLabel 197"/>
    <w:qFormat/>
    <w:rPr>
      <w:rFonts w:cs="Symbol"/>
    </w:rPr>
  </w:style>
  <w:style w:type="character" w:styleId="ListLabel198">
    <w:name w:val="ListLabel 198"/>
    <w:qFormat/>
    <w:rPr>
      <w:rFonts w:cs="Courier New"/>
    </w:rPr>
  </w:style>
  <w:style w:type="character" w:styleId="ListLabel199">
    <w:name w:val="ListLabel 199"/>
    <w:qFormat/>
    <w:rPr>
      <w:rFonts w:cs="Wingdings"/>
    </w:rPr>
  </w:style>
  <w:style w:type="character" w:styleId="ListLabel200">
    <w:name w:val="ListLabel 200"/>
    <w:qFormat/>
    <w:rPr>
      <w:rFonts w:ascii="Courier New" w:hAnsi="Courier New"/>
      <w:sz w:val="24"/>
      <w:szCs w:val="24"/>
    </w:rPr>
  </w:style>
  <w:style w:type="character" w:styleId="ListLabel201">
    <w:name w:val="ListLabel 201"/>
    <w:qFormat/>
    <w:rPr>
      <w:rFonts w:ascii="Courier New" w:hAnsi="Courier New" w:cs="Courier New"/>
      <w:sz w:val="24"/>
      <w:szCs w:val="24"/>
    </w:rPr>
  </w:style>
  <w:style w:type="character" w:styleId="ListLabel202">
    <w:name w:val="ListLabel 202"/>
    <w:qFormat/>
    <w:rPr>
      <w:rFonts w:cs="Courier New"/>
    </w:rPr>
  </w:style>
  <w:style w:type="character" w:styleId="ListLabel203">
    <w:name w:val="ListLabel 203"/>
    <w:qFormat/>
    <w:rPr>
      <w:rFonts w:cs="Wingdings"/>
    </w:rPr>
  </w:style>
  <w:style w:type="character" w:styleId="ListLabel204">
    <w:name w:val="ListLabel 204"/>
    <w:qFormat/>
    <w:rPr>
      <w:rFonts w:cs="Symbol"/>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cs="Symbol"/>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ascii="Courier New" w:hAnsi="Courier New" w:cs="Courier New"/>
      <w:sz w:val="24"/>
      <w:szCs w:val="24"/>
    </w:rPr>
  </w:style>
  <w:style w:type="character" w:styleId="ListLabel211">
    <w:name w:val="ListLabel 211"/>
    <w:qFormat/>
    <w:rPr>
      <w:rFonts w:cs="Courier New"/>
    </w:rPr>
  </w:style>
  <w:style w:type="character" w:styleId="ListLabel212">
    <w:name w:val="ListLabel 212"/>
    <w:qFormat/>
    <w:rPr>
      <w:rFonts w:cs="Wingdings"/>
    </w:rPr>
  </w:style>
  <w:style w:type="character" w:styleId="ListLabel213">
    <w:name w:val="ListLabel 213"/>
    <w:qFormat/>
    <w:rPr>
      <w:rFonts w:cs="Symbol"/>
    </w:rPr>
  </w:style>
  <w:style w:type="character" w:styleId="ListLabel214">
    <w:name w:val="ListLabel 214"/>
    <w:qFormat/>
    <w:rPr>
      <w:rFonts w:cs="Courier New"/>
    </w:rPr>
  </w:style>
  <w:style w:type="character" w:styleId="ListLabel215">
    <w:name w:val="ListLabel 215"/>
    <w:qFormat/>
    <w:rPr>
      <w:rFonts w:cs="Wingdings"/>
    </w:rPr>
  </w:style>
  <w:style w:type="character" w:styleId="ListLabel216">
    <w:name w:val="ListLabel 216"/>
    <w:qFormat/>
    <w:rPr>
      <w:rFonts w:cs="Symbol"/>
    </w:rPr>
  </w:style>
  <w:style w:type="character" w:styleId="ListLabel217">
    <w:name w:val="ListLabel 217"/>
    <w:qFormat/>
    <w:rPr>
      <w:rFonts w:cs="Courier New"/>
    </w:rPr>
  </w:style>
  <w:style w:type="character" w:styleId="ListLabel218">
    <w:name w:val="ListLabel 218"/>
    <w:qFormat/>
    <w:rPr>
      <w:rFonts w:cs="Wingdings"/>
    </w:rPr>
  </w:style>
  <w:style w:type="character" w:styleId="ListLabel219">
    <w:name w:val="ListLabel 219"/>
    <w:qFormat/>
    <w:rPr>
      <w:rFonts w:ascii="Courier New" w:hAnsi="Courier New"/>
      <w:b w:val="false"/>
      <w:sz w:val="24"/>
    </w:rPr>
  </w:style>
  <w:style w:type="character" w:styleId="ListLabel220">
    <w:name w:val="ListLabel 220"/>
    <w:qFormat/>
    <w:rPr>
      <w:rFonts w:ascii="Courier New" w:hAnsi="Courier New" w:cs="Courier New"/>
      <w:b/>
      <w:sz w:val="24"/>
      <w:szCs w:val="24"/>
    </w:rPr>
  </w:style>
  <w:style w:type="character" w:styleId="ListLabel221">
    <w:name w:val="ListLabel 221"/>
    <w:qFormat/>
    <w:rPr>
      <w:rFonts w:ascii="Courier New" w:hAnsi="Courier New" w:cs="Symbol"/>
      <w:sz w:val="24"/>
    </w:rPr>
  </w:style>
  <w:style w:type="character" w:styleId="ListLabel222">
    <w:name w:val="ListLabel 222"/>
    <w:qFormat/>
    <w:rPr>
      <w:rFonts w:cs="Symbol"/>
    </w:rPr>
  </w:style>
  <w:style w:type="character" w:styleId="ListLabel223">
    <w:name w:val="ListLabel 223"/>
    <w:qFormat/>
    <w:rPr>
      <w:rFonts w:cs="Symbol"/>
      <w:sz w:val="24"/>
    </w:rPr>
  </w:style>
  <w:style w:type="character" w:styleId="ListLabel224">
    <w:name w:val="ListLabel 224"/>
    <w:qFormat/>
    <w:rPr>
      <w:rFonts w:cs="Courier New"/>
    </w:rPr>
  </w:style>
  <w:style w:type="character" w:styleId="ListLabel225">
    <w:name w:val="ListLabel 225"/>
    <w:qFormat/>
    <w:rPr>
      <w:rFonts w:cs="Wingdings"/>
    </w:rPr>
  </w:style>
  <w:style w:type="character" w:styleId="ListLabel226">
    <w:name w:val="ListLabel 226"/>
    <w:qFormat/>
    <w:rPr>
      <w:rFonts w:cs="Symbol"/>
    </w:rPr>
  </w:style>
  <w:style w:type="character" w:styleId="ListLabel227">
    <w:name w:val="ListLabel 227"/>
    <w:qFormat/>
    <w:rPr>
      <w:rFonts w:cs="Courier New"/>
    </w:rPr>
  </w:style>
  <w:style w:type="character" w:styleId="ListLabel228">
    <w:name w:val="ListLabel 228"/>
    <w:qFormat/>
    <w:rPr>
      <w:rFonts w:cs="Wingdings"/>
    </w:rPr>
  </w:style>
  <w:style w:type="character" w:styleId="ListLabel229">
    <w:name w:val="ListLabel 229"/>
    <w:qFormat/>
    <w:rPr>
      <w:rFonts w:cs="Symbol"/>
    </w:rPr>
  </w:style>
  <w:style w:type="character" w:styleId="ListLabel230">
    <w:name w:val="ListLabel 230"/>
    <w:qFormat/>
    <w:rPr>
      <w:rFonts w:cs="Courier New"/>
    </w:rPr>
  </w:style>
  <w:style w:type="character" w:styleId="ListLabel231">
    <w:name w:val="ListLabel 231"/>
    <w:qFormat/>
    <w:rPr>
      <w:rFonts w:cs="Wingdings"/>
    </w:rPr>
  </w:style>
  <w:style w:type="character" w:styleId="ListLabel232">
    <w:name w:val="ListLabel 232"/>
    <w:qFormat/>
    <w:rPr>
      <w:rFonts w:cs="Symbol"/>
      <w:sz w:val="24"/>
    </w:rPr>
  </w:style>
  <w:style w:type="character" w:styleId="ListLabel233">
    <w:name w:val="ListLabel 233"/>
    <w:qFormat/>
    <w:rPr>
      <w:rFonts w:cs="Courier New"/>
    </w:rPr>
  </w:style>
  <w:style w:type="character" w:styleId="ListLabel234">
    <w:name w:val="ListLabel 234"/>
    <w:qFormat/>
    <w:rPr>
      <w:rFonts w:cs="Wingdings"/>
    </w:rPr>
  </w:style>
  <w:style w:type="character" w:styleId="ListLabel235">
    <w:name w:val="ListLabel 235"/>
    <w:qFormat/>
    <w:rPr>
      <w:rFonts w:cs="Symbol"/>
    </w:rPr>
  </w:style>
  <w:style w:type="character" w:styleId="ListLabel236">
    <w:name w:val="ListLabel 236"/>
    <w:qFormat/>
    <w:rPr>
      <w:rFonts w:cs="Courier New"/>
    </w:rPr>
  </w:style>
  <w:style w:type="character" w:styleId="ListLabel237">
    <w:name w:val="ListLabel 237"/>
    <w:qFormat/>
    <w:rPr>
      <w:rFonts w:cs="Wingdings"/>
    </w:rPr>
  </w:style>
  <w:style w:type="character" w:styleId="ListLabel238">
    <w:name w:val="ListLabel 238"/>
    <w:qFormat/>
    <w:rPr>
      <w:rFonts w:cs="Symbol"/>
    </w:rPr>
  </w:style>
  <w:style w:type="character" w:styleId="ListLabel239">
    <w:name w:val="ListLabel 239"/>
    <w:qFormat/>
    <w:rPr>
      <w:rFonts w:cs="Courier New"/>
    </w:rPr>
  </w:style>
  <w:style w:type="character" w:styleId="ListLabel240">
    <w:name w:val="ListLabel 240"/>
    <w:qFormat/>
    <w:rPr>
      <w:rFonts w:cs="Wingdings"/>
    </w:rPr>
  </w:style>
  <w:style w:type="character" w:styleId="ListLabel241">
    <w:name w:val="ListLabel 241"/>
    <w:qFormat/>
    <w:rPr>
      <w:rFonts w:ascii="Courier New" w:hAnsi="Courier New" w:cs="Symbol"/>
      <w:sz w:val="24"/>
    </w:rPr>
  </w:style>
  <w:style w:type="character" w:styleId="ListLabel242">
    <w:name w:val="ListLabel 242"/>
    <w:qFormat/>
    <w:rPr>
      <w:rFonts w:cs="Courier New"/>
    </w:rPr>
  </w:style>
  <w:style w:type="character" w:styleId="ListLabel243">
    <w:name w:val="ListLabel 243"/>
    <w:qFormat/>
    <w:rPr>
      <w:rFonts w:cs="Wingdings"/>
    </w:rPr>
  </w:style>
  <w:style w:type="character" w:styleId="ListLabel244">
    <w:name w:val="ListLabel 244"/>
    <w:qFormat/>
    <w:rPr>
      <w:rFonts w:cs="Symbol"/>
    </w:rPr>
  </w:style>
  <w:style w:type="character" w:styleId="ListLabel245">
    <w:name w:val="ListLabel 245"/>
    <w:qFormat/>
    <w:rPr>
      <w:rFonts w:cs="Courier New"/>
    </w:rPr>
  </w:style>
  <w:style w:type="character" w:styleId="ListLabel246">
    <w:name w:val="ListLabel 246"/>
    <w:qFormat/>
    <w:rPr>
      <w:rFonts w:cs="Wingdings"/>
    </w:rPr>
  </w:style>
  <w:style w:type="character" w:styleId="ListLabel247">
    <w:name w:val="ListLabel 247"/>
    <w:qFormat/>
    <w:rPr>
      <w:rFonts w:cs="Symbol"/>
    </w:rPr>
  </w:style>
  <w:style w:type="character" w:styleId="ListLabel248">
    <w:name w:val="ListLabel 248"/>
    <w:qFormat/>
    <w:rPr>
      <w:rFonts w:cs="Courier New"/>
    </w:rPr>
  </w:style>
  <w:style w:type="character" w:styleId="ListLabel249">
    <w:name w:val="ListLabel 249"/>
    <w:qFormat/>
    <w:rPr>
      <w:rFonts w:cs="Wingdings"/>
    </w:rPr>
  </w:style>
  <w:style w:type="character" w:styleId="ListLabel250">
    <w:name w:val="ListLabel 250"/>
    <w:qFormat/>
    <w:rPr>
      <w:rFonts w:ascii="Courier New" w:hAnsi="Courier New"/>
      <w:sz w:val="24"/>
      <w:szCs w:val="24"/>
    </w:rPr>
  </w:style>
  <w:style w:type="character" w:styleId="ListLabel251">
    <w:name w:val="ListLabel 251"/>
    <w:qFormat/>
    <w:rPr>
      <w:rFonts w:ascii="Courier New" w:hAnsi="Courier New" w:cs="Courier New"/>
      <w:sz w:val="24"/>
      <w:szCs w:val="24"/>
    </w:rPr>
  </w:style>
  <w:style w:type="character" w:styleId="ListLabel252">
    <w:name w:val="ListLabel 252"/>
    <w:qFormat/>
    <w:rPr>
      <w:rFonts w:cs="Courier New"/>
    </w:rPr>
  </w:style>
  <w:style w:type="character" w:styleId="ListLabel253">
    <w:name w:val="ListLabel 253"/>
    <w:qFormat/>
    <w:rPr>
      <w:rFonts w:cs="Wingdings"/>
    </w:rPr>
  </w:style>
  <w:style w:type="character" w:styleId="ListLabel254">
    <w:name w:val="ListLabel 254"/>
    <w:qFormat/>
    <w:rPr>
      <w:rFonts w:cs="Symbol"/>
    </w:rPr>
  </w:style>
  <w:style w:type="character" w:styleId="ListLabel255">
    <w:name w:val="ListLabel 255"/>
    <w:qFormat/>
    <w:rPr>
      <w:rFonts w:cs="Courier New"/>
    </w:rPr>
  </w:style>
  <w:style w:type="character" w:styleId="ListLabel256">
    <w:name w:val="ListLabel 256"/>
    <w:qFormat/>
    <w:rPr>
      <w:rFonts w:cs="Wingdings"/>
    </w:rPr>
  </w:style>
  <w:style w:type="character" w:styleId="ListLabel257">
    <w:name w:val="ListLabel 257"/>
    <w:qFormat/>
    <w:rPr>
      <w:rFonts w:cs="Symbol"/>
    </w:rPr>
  </w:style>
  <w:style w:type="character" w:styleId="ListLabel258">
    <w:name w:val="ListLabel 258"/>
    <w:qFormat/>
    <w:rPr>
      <w:rFonts w:cs="Courier New"/>
    </w:rPr>
  </w:style>
  <w:style w:type="character" w:styleId="ListLabel259">
    <w:name w:val="ListLabel 259"/>
    <w:qFormat/>
    <w:rPr>
      <w:rFonts w:cs="Wingdings"/>
    </w:rPr>
  </w:style>
  <w:style w:type="character" w:styleId="ListLabel260">
    <w:name w:val="ListLabel 260"/>
    <w:qFormat/>
    <w:rPr>
      <w:rFonts w:ascii="Courier New" w:hAnsi="Courier New" w:cs="Courier New"/>
      <w:sz w:val="24"/>
      <w:szCs w:val="24"/>
    </w:rPr>
  </w:style>
  <w:style w:type="character" w:styleId="ListLabel261">
    <w:name w:val="ListLabel 261"/>
    <w:qFormat/>
    <w:rPr>
      <w:rFonts w:cs="Courier New"/>
    </w:rPr>
  </w:style>
  <w:style w:type="character" w:styleId="ListLabel262">
    <w:name w:val="ListLabel 262"/>
    <w:qFormat/>
    <w:rPr>
      <w:rFonts w:cs="Wingdings"/>
    </w:rPr>
  </w:style>
  <w:style w:type="character" w:styleId="ListLabel263">
    <w:name w:val="ListLabel 263"/>
    <w:qFormat/>
    <w:rPr>
      <w:rFonts w:cs="Symbol"/>
    </w:rPr>
  </w:style>
  <w:style w:type="character" w:styleId="ListLabel264">
    <w:name w:val="ListLabel 264"/>
    <w:qFormat/>
    <w:rPr>
      <w:rFonts w:cs="Courier New"/>
    </w:rPr>
  </w:style>
  <w:style w:type="character" w:styleId="ListLabel265">
    <w:name w:val="ListLabel 265"/>
    <w:qFormat/>
    <w:rPr>
      <w:rFonts w:cs="Wingdings"/>
    </w:rPr>
  </w:style>
  <w:style w:type="character" w:styleId="ListLabel266">
    <w:name w:val="ListLabel 266"/>
    <w:qFormat/>
    <w:rPr>
      <w:rFonts w:cs="Symbol"/>
    </w:rPr>
  </w:style>
  <w:style w:type="character" w:styleId="ListLabel267">
    <w:name w:val="ListLabel 267"/>
    <w:qFormat/>
    <w:rPr>
      <w:rFonts w:cs="Courier New"/>
    </w:rPr>
  </w:style>
  <w:style w:type="character" w:styleId="ListLabel268">
    <w:name w:val="ListLabel 268"/>
    <w:qFormat/>
    <w:rPr>
      <w:rFonts w:cs="Wingdings"/>
    </w:rPr>
  </w:style>
  <w:style w:type="character" w:styleId="ListLabel269">
    <w:name w:val="ListLabel 269"/>
    <w:qFormat/>
    <w:rPr>
      <w:rFonts w:ascii="Courier New" w:hAnsi="Courier New"/>
      <w:b w:val="false"/>
      <w:sz w:val="24"/>
    </w:rPr>
  </w:style>
  <w:style w:type="character" w:styleId="ListLabel270">
    <w:name w:val="ListLabel 270"/>
    <w:qFormat/>
    <w:rPr>
      <w:rFonts w:ascii="Courier New" w:hAnsi="Courier New" w:cs="Courier New"/>
      <w:b/>
      <w:sz w:val="24"/>
      <w:szCs w:val="24"/>
    </w:rPr>
  </w:style>
  <w:style w:type="character" w:styleId="ListLabel271">
    <w:name w:val="ListLabel 271"/>
    <w:qFormat/>
    <w:rPr>
      <w:rFonts w:ascii="Courier New" w:hAnsi="Courier New" w:cs="Symbol"/>
      <w:sz w:val="24"/>
    </w:rPr>
  </w:style>
  <w:style w:type="character" w:styleId="ListLabel272">
    <w:name w:val="ListLabel 272"/>
    <w:qFormat/>
    <w:rPr>
      <w:rFonts w:cs="Symbol"/>
    </w:rPr>
  </w:style>
  <w:style w:type="character" w:styleId="ListLabel273">
    <w:name w:val="ListLabel 273"/>
    <w:qFormat/>
    <w:rPr>
      <w:rFonts w:cs="Symbol"/>
      <w:sz w:val="24"/>
    </w:rPr>
  </w:style>
  <w:style w:type="character" w:styleId="ListLabel274">
    <w:name w:val="ListLabel 274"/>
    <w:qFormat/>
    <w:rPr>
      <w:rFonts w:cs="Courier New"/>
    </w:rPr>
  </w:style>
  <w:style w:type="character" w:styleId="ListLabel275">
    <w:name w:val="ListLabel 275"/>
    <w:qFormat/>
    <w:rPr>
      <w:rFonts w:cs="Wingdings"/>
    </w:rPr>
  </w:style>
  <w:style w:type="character" w:styleId="ListLabel276">
    <w:name w:val="ListLabel 276"/>
    <w:qFormat/>
    <w:rPr>
      <w:rFonts w:cs="Symbol"/>
    </w:rPr>
  </w:style>
  <w:style w:type="character" w:styleId="ListLabel277">
    <w:name w:val="ListLabel 277"/>
    <w:qFormat/>
    <w:rPr>
      <w:rFonts w:cs="Courier New"/>
    </w:rPr>
  </w:style>
  <w:style w:type="character" w:styleId="ListLabel278">
    <w:name w:val="ListLabel 278"/>
    <w:qFormat/>
    <w:rPr>
      <w:rFonts w:cs="Wingdings"/>
    </w:rPr>
  </w:style>
  <w:style w:type="character" w:styleId="ListLabel279">
    <w:name w:val="ListLabel 279"/>
    <w:qFormat/>
    <w:rPr>
      <w:rFonts w:cs="Symbol"/>
    </w:rPr>
  </w:style>
  <w:style w:type="character" w:styleId="ListLabel280">
    <w:name w:val="ListLabel 280"/>
    <w:qFormat/>
    <w:rPr>
      <w:rFonts w:cs="Courier New"/>
    </w:rPr>
  </w:style>
  <w:style w:type="character" w:styleId="ListLabel281">
    <w:name w:val="ListLabel 281"/>
    <w:qFormat/>
    <w:rPr>
      <w:rFonts w:cs="Wingdings"/>
    </w:rPr>
  </w:style>
  <w:style w:type="character" w:styleId="ListLabel282">
    <w:name w:val="ListLabel 282"/>
    <w:qFormat/>
    <w:rPr>
      <w:rFonts w:cs="Symbol"/>
      <w:sz w:val="24"/>
    </w:rPr>
  </w:style>
  <w:style w:type="character" w:styleId="ListLabel283">
    <w:name w:val="ListLabel 283"/>
    <w:qFormat/>
    <w:rPr>
      <w:rFonts w:cs="Courier New"/>
    </w:rPr>
  </w:style>
  <w:style w:type="character" w:styleId="ListLabel284">
    <w:name w:val="ListLabel 284"/>
    <w:qFormat/>
    <w:rPr>
      <w:rFonts w:cs="Wingdings"/>
    </w:rPr>
  </w:style>
  <w:style w:type="character" w:styleId="ListLabel285">
    <w:name w:val="ListLabel 285"/>
    <w:qFormat/>
    <w:rPr>
      <w:rFonts w:cs="Symbol"/>
    </w:rPr>
  </w:style>
  <w:style w:type="character" w:styleId="ListLabel286">
    <w:name w:val="ListLabel 286"/>
    <w:qFormat/>
    <w:rPr>
      <w:rFonts w:cs="Courier New"/>
    </w:rPr>
  </w:style>
  <w:style w:type="character" w:styleId="ListLabel287">
    <w:name w:val="ListLabel 287"/>
    <w:qFormat/>
    <w:rPr>
      <w:rFonts w:cs="Wingdings"/>
    </w:rPr>
  </w:style>
  <w:style w:type="character" w:styleId="ListLabel288">
    <w:name w:val="ListLabel 288"/>
    <w:qFormat/>
    <w:rPr>
      <w:rFonts w:cs="Symbol"/>
    </w:rPr>
  </w:style>
  <w:style w:type="character" w:styleId="ListLabel289">
    <w:name w:val="ListLabel 289"/>
    <w:qFormat/>
    <w:rPr>
      <w:rFonts w:cs="Courier New"/>
    </w:rPr>
  </w:style>
  <w:style w:type="character" w:styleId="ListLabel290">
    <w:name w:val="ListLabel 290"/>
    <w:qFormat/>
    <w:rPr>
      <w:rFonts w:cs="Wingdings"/>
    </w:rPr>
  </w:style>
  <w:style w:type="character" w:styleId="ListLabel291">
    <w:name w:val="ListLabel 291"/>
    <w:qFormat/>
    <w:rPr>
      <w:rFonts w:ascii="Courier New" w:hAnsi="Courier New" w:cs="Symbol"/>
      <w:sz w:val="24"/>
    </w:rPr>
  </w:style>
  <w:style w:type="character" w:styleId="ListLabel292">
    <w:name w:val="ListLabel 292"/>
    <w:qFormat/>
    <w:rPr>
      <w:rFonts w:cs="Courier New"/>
    </w:rPr>
  </w:style>
  <w:style w:type="character" w:styleId="ListLabel293">
    <w:name w:val="ListLabel 293"/>
    <w:qFormat/>
    <w:rPr>
      <w:rFonts w:cs="Wingdings"/>
    </w:rPr>
  </w:style>
  <w:style w:type="character" w:styleId="ListLabel294">
    <w:name w:val="ListLabel 294"/>
    <w:qFormat/>
    <w:rPr>
      <w:rFonts w:cs="Symbol"/>
    </w:rPr>
  </w:style>
  <w:style w:type="character" w:styleId="ListLabel295">
    <w:name w:val="ListLabel 295"/>
    <w:qFormat/>
    <w:rPr>
      <w:rFonts w:cs="Courier New"/>
    </w:rPr>
  </w:style>
  <w:style w:type="character" w:styleId="ListLabel296">
    <w:name w:val="ListLabel 296"/>
    <w:qFormat/>
    <w:rPr>
      <w:rFonts w:cs="Wingdings"/>
    </w:rPr>
  </w:style>
  <w:style w:type="character" w:styleId="ListLabel297">
    <w:name w:val="ListLabel 297"/>
    <w:qFormat/>
    <w:rPr>
      <w:rFonts w:cs="Symbol"/>
    </w:rPr>
  </w:style>
  <w:style w:type="character" w:styleId="ListLabel298">
    <w:name w:val="ListLabel 298"/>
    <w:qFormat/>
    <w:rPr>
      <w:rFonts w:cs="Courier New"/>
    </w:rPr>
  </w:style>
  <w:style w:type="character" w:styleId="ListLabel299">
    <w:name w:val="ListLabel 299"/>
    <w:qFormat/>
    <w:rPr>
      <w:rFonts w:cs="Wingdings"/>
    </w:rPr>
  </w:style>
  <w:style w:type="character" w:styleId="ListLabel300">
    <w:name w:val="ListLabel 300"/>
    <w:qFormat/>
    <w:rPr>
      <w:rFonts w:ascii="Courier New" w:hAnsi="Courier New"/>
      <w:sz w:val="24"/>
      <w:szCs w:val="24"/>
    </w:rPr>
  </w:style>
  <w:style w:type="character" w:styleId="ListLabel301">
    <w:name w:val="ListLabel 301"/>
    <w:qFormat/>
    <w:rPr>
      <w:rFonts w:ascii="Courier New" w:hAnsi="Courier New" w:cs="Courier New"/>
      <w:sz w:val="24"/>
      <w:szCs w:val="24"/>
    </w:rPr>
  </w:style>
  <w:style w:type="character" w:styleId="ListLabel302">
    <w:name w:val="ListLabel 302"/>
    <w:qFormat/>
    <w:rPr>
      <w:rFonts w:cs="Courier New"/>
    </w:rPr>
  </w:style>
  <w:style w:type="character" w:styleId="ListLabel303">
    <w:name w:val="ListLabel 303"/>
    <w:qFormat/>
    <w:rPr>
      <w:rFonts w:cs="Wingdings"/>
    </w:rPr>
  </w:style>
  <w:style w:type="character" w:styleId="ListLabel304">
    <w:name w:val="ListLabel 304"/>
    <w:qFormat/>
    <w:rPr>
      <w:rFonts w:cs="Symbol"/>
    </w:rPr>
  </w:style>
  <w:style w:type="character" w:styleId="ListLabel305">
    <w:name w:val="ListLabel 305"/>
    <w:qFormat/>
    <w:rPr>
      <w:rFonts w:cs="Courier New"/>
    </w:rPr>
  </w:style>
  <w:style w:type="character" w:styleId="ListLabel306">
    <w:name w:val="ListLabel 306"/>
    <w:qFormat/>
    <w:rPr>
      <w:rFonts w:cs="Wingdings"/>
    </w:rPr>
  </w:style>
  <w:style w:type="character" w:styleId="ListLabel307">
    <w:name w:val="ListLabel 307"/>
    <w:qFormat/>
    <w:rPr>
      <w:rFonts w:cs="Symbol"/>
    </w:rPr>
  </w:style>
  <w:style w:type="character" w:styleId="ListLabel308">
    <w:name w:val="ListLabel 308"/>
    <w:qFormat/>
    <w:rPr>
      <w:rFonts w:cs="Courier New"/>
    </w:rPr>
  </w:style>
  <w:style w:type="character" w:styleId="ListLabel309">
    <w:name w:val="ListLabel 309"/>
    <w:qFormat/>
    <w:rPr>
      <w:rFonts w:cs="Wingdings"/>
    </w:rPr>
  </w:style>
  <w:style w:type="character" w:styleId="ListLabel310">
    <w:name w:val="ListLabel 310"/>
    <w:qFormat/>
    <w:rPr>
      <w:rFonts w:ascii="Courier New" w:hAnsi="Courier New" w:cs="Courier New"/>
      <w:sz w:val="24"/>
      <w:szCs w:val="24"/>
    </w:rPr>
  </w:style>
  <w:style w:type="character" w:styleId="ListLabel311">
    <w:name w:val="ListLabel 311"/>
    <w:qFormat/>
    <w:rPr>
      <w:rFonts w:cs="Courier New"/>
    </w:rPr>
  </w:style>
  <w:style w:type="character" w:styleId="ListLabel312">
    <w:name w:val="ListLabel 312"/>
    <w:qFormat/>
    <w:rPr>
      <w:rFonts w:cs="Wingdings"/>
    </w:rPr>
  </w:style>
  <w:style w:type="character" w:styleId="ListLabel313">
    <w:name w:val="ListLabel 313"/>
    <w:qFormat/>
    <w:rPr>
      <w:rFonts w:cs="Symbol"/>
    </w:rPr>
  </w:style>
  <w:style w:type="character" w:styleId="ListLabel314">
    <w:name w:val="ListLabel 314"/>
    <w:qFormat/>
    <w:rPr>
      <w:rFonts w:cs="Courier New"/>
    </w:rPr>
  </w:style>
  <w:style w:type="character" w:styleId="ListLabel315">
    <w:name w:val="ListLabel 315"/>
    <w:qFormat/>
    <w:rPr>
      <w:rFonts w:cs="Wingdings"/>
    </w:rPr>
  </w:style>
  <w:style w:type="character" w:styleId="ListLabel316">
    <w:name w:val="ListLabel 316"/>
    <w:qFormat/>
    <w:rPr>
      <w:rFonts w:cs="Symbol"/>
    </w:rPr>
  </w:style>
  <w:style w:type="character" w:styleId="ListLabel317">
    <w:name w:val="ListLabel 317"/>
    <w:qFormat/>
    <w:rPr>
      <w:rFonts w:cs="Courier New"/>
    </w:rPr>
  </w:style>
  <w:style w:type="character" w:styleId="ListLabel318">
    <w:name w:val="ListLabel 318"/>
    <w:qFormat/>
    <w:rPr>
      <w:rFonts w:cs="Wingdings"/>
    </w:rPr>
  </w:style>
  <w:style w:type="character" w:styleId="ListLabel319">
    <w:name w:val="ListLabel 319"/>
    <w:qFormat/>
    <w:rPr>
      <w:rFonts w:ascii="Courier New" w:hAnsi="Courier New"/>
      <w:b w:val="false"/>
      <w:sz w:val="24"/>
    </w:rPr>
  </w:style>
  <w:style w:type="character" w:styleId="ListLabel320">
    <w:name w:val="ListLabel 320"/>
    <w:qFormat/>
    <w:rPr>
      <w:rFonts w:ascii="Courier New" w:hAnsi="Courier New" w:cs="Courier New"/>
      <w:b/>
      <w:sz w:val="24"/>
      <w:szCs w:val="24"/>
    </w:rPr>
  </w:style>
  <w:style w:type="character" w:styleId="ListLabel321">
    <w:name w:val="ListLabel 321"/>
    <w:qFormat/>
    <w:rPr>
      <w:rFonts w:ascii="Courier New" w:hAnsi="Courier New" w:cs="Symbol"/>
      <w:sz w:val="24"/>
    </w:rPr>
  </w:style>
  <w:style w:type="character" w:styleId="ListLabel322">
    <w:name w:val="ListLabel 322"/>
    <w:qFormat/>
    <w:rPr>
      <w:rFonts w:cs="Symbol"/>
    </w:rPr>
  </w:style>
  <w:style w:type="character" w:styleId="ListLabel323">
    <w:name w:val="ListLabel 323"/>
    <w:qFormat/>
    <w:rPr>
      <w:rFonts w:cs="Symbol"/>
      <w:sz w:val="24"/>
    </w:rPr>
  </w:style>
  <w:style w:type="character" w:styleId="ListLabel324">
    <w:name w:val="ListLabel 324"/>
    <w:qFormat/>
    <w:rPr>
      <w:rFonts w:cs="Courier New"/>
    </w:rPr>
  </w:style>
  <w:style w:type="character" w:styleId="ListLabel325">
    <w:name w:val="ListLabel 325"/>
    <w:qFormat/>
    <w:rPr>
      <w:rFonts w:cs="Wingdings"/>
    </w:rPr>
  </w:style>
  <w:style w:type="character" w:styleId="ListLabel326">
    <w:name w:val="ListLabel 326"/>
    <w:qFormat/>
    <w:rPr>
      <w:rFonts w:cs="Symbol"/>
    </w:rPr>
  </w:style>
  <w:style w:type="character" w:styleId="ListLabel327">
    <w:name w:val="ListLabel 327"/>
    <w:qFormat/>
    <w:rPr>
      <w:rFonts w:cs="Courier New"/>
    </w:rPr>
  </w:style>
  <w:style w:type="character" w:styleId="ListLabel328">
    <w:name w:val="ListLabel 328"/>
    <w:qFormat/>
    <w:rPr>
      <w:rFonts w:cs="Wingdings"/>
    </w:rPr>
  </w:style>
  <w:style w:type="character" w:styleId="ListLabel329">
    <w:name w:val="ListLabel 329"/>
    <w:qFormat/>
    <w:rPr>
      <w:rFonts w:cs="Symbol"/>
    </w:rPr>
  </w:style>
  <w:style w:type="character" w:styleId="ListLabel330">
    <w:name w:val="ListLabel 330"/>
    <w:qFormat/>
    <w:rPr>
      <w:rFonts w:cs="Courier New"/>
    </w:rPr>
  </w:style>
  <w:style w:type="character" w:styleId="ListLabel331">
    <w:name w:val="ListLabel 331"/>
    <w:qFormat/>
    <w:rPr>
      <w:rFonts w:cs="Wingdings"/>
    </w:rPr>
  </w:style>
  <w:style w:type="character" w:styleId="ListLabel332">
    <w:name w:val="ListLabel 332"/>
    <w:qFormat/>
    <w:rPr>
      <w:rFonts w:cs="Symbol"/>
      <w:sz w:val="24"/>
    </w:rPr>
  </w:style>
  <w:style w:type="character" w:styleId="ListLabel333">
    <w:name w:val="ListLabel 333"/>
    <w:qFormat/>
    <w:rPr>
      <w:rFonts w:cs="Courier New"/>
    </w:rPr>
  </w:style>
  <w:style w:type="character" w:styleId="ListLabel334">
    <w:name w:val="ListLabel 334"/>
    <w:qFormat/>
    <w:rPr>
      <w:rFonts w:cs="Wingdings"/>
    </w:rPr>
  </w:style>
  <w:style w:type="character" w:styleId="ListLabel335">
    <w:name w:val="ListLabel 335"/>
    <w:qFormat/>
    <w:rPr>
      <w:rFonts w:cs="Symbol"/>
    </w:rPr>
  </w:style>
  <w:style w:type="character" w:styleId="ListLabel336">
    <w:name w:val="ListLabel 336"/>
    <w:qFormat/>
    <w:rPr>
      <w:rFonts w:cs="Courier New"/>
    </w:rPr>
  </w:style>
  <w:style w:type="character" w:styleId="ListLabel337">
    <w:name w:val="ListLabel 337"/>
    <w:qFormat/>
    <w:rPr>
      <w:rFonts w:cs="Wingdings"/>
    </w:rPr>
  </w:style>
  <w:style w:type="character" w:styleId="ListLabel338">
    <w:name w:val="ListLabel 338"/>
    <w:qFormat/>
    <w:rPr>
      <w:rFonts w:cs="Symbol"/>
    </w:rPr>
  </w:style>
  <w:style w:type="character" w:styleId="ListLabel339">
    <w:name w:val="ListLabel 339"/>
    <w:qFormat/>
    <w:rPr>
      <w:rFonts w:cs="Courier New"/>
    </w:rPr>
  </w:style>
  <w:style w:type="character" w:styleId="ListLabel340">
    <w:name w:val="ListLabel 340"/>
    <w:qFormat/>
    <w:rPr>
      <w:rFonts w:cs="Wingdings"/>
    </w:rPr>
  </w:style>
  <w:style w:type="character" w:styleId="ListLabel341">
    <w:name w:val="ListLabel 341"/>
    <w:qFormat/>
    <w:rPr>
      <w:rFonts w:ascii="Courier New" w:hAnsi="Courier New" w:cs="Symbol"/>
      <w:sz w:val="24"/>
    </w:rPr>
  </w:style>
  <w:style w:type="character" w:styleId="ListLabel342">
    <w:name w:val="ListLabel 342"/>
    <w:qFormat/>
    <w:rPr>
      <w:rFonts w:cs="Courier New"/>
    </w:rPr>
  </w:style>
  <w:style w:type="character" w:styleId="ListLabel343">
    <w:name w:val="ListLabel 343"/>
    <w:qFormat/>
    <w:rPr>
      <w:rFonts w:cs="Wingdings"/>
    </w:rPr>
  </w:style>
  <w:style w:type="character" w:styleId="ListLabel344">
    <w:name w:val="ListLabel 344"/>
    <w:qFormat/>
    <w:rPr>
      <w:rFonts w:cs="Symbol"/>
    </w:rPr>
  </w:style>
  <w:style w:type="character" w:styleId="ListLabel345">
    <w:name w:val="ListLabel 345"/>
    <w:qFormat/>
    <w:rPr>
      <w:rFonts w:cs="Courier New"/>
    </w:rPr>
  </w:style>
  <w:style w:type="character" w:styleId="ListLabel346">
    <w:name w:val="ListLabel 346"/>
    <w:qFormat/>
    <w:rPr>
      <w:rFonts w:cs="Wingdings"/>
    </w:rPr>
  </w:style>
  <w:style w:type="character" w:styleId="ListLabel347">
    <w:name w:val="ListLabel 347"/>
    <w:qFormat/>
    <w:rPr>
      <w:rFonts w:cs="Symbol"/>
    </w:rPr>
  </w:style>
  <w:style w:type="character" w:styleId="ListLabel348">
    <w:name w:val="ListLabel 348"/>
    <w:qFormat/>
    <w:rPr>
      <w:rFonts w:cs="Courier New"/>
    </w:rPr>
  </w:style>
  <w:style w:type="character" w:styleId="ListLabel349">
    <w:name w:val="ListLabel 349"/>
    <w:qFormat/>
    <w:rPr>
      <w:rFonts w:cs="Wingdings"/>
    </w:rPr>
  </w:style>
  <w:style w:type="character" w:styleId="ListLabel350">
    <w:name w:val="ListLabel 350"/>
    <w:qFormat/>
    <w:rPr>
      <w:rFonts w:ascii="Courier New" w:hAnsi="Courier New"/>
      <w:sz w:val="24"/>
      <w:szCs w:val="24"/>
    </w:rPr>
  </w:style>
  <w:style w:type="character" w:styleId="ListLabel351">
    <w:name w:val="ListLabel 351"/>
    <w:qFormat/>
    <w:rPr>
      <w:rFonts w:ascii="Courier New" w:hAnsi="Courier New" w:cs="Courier New"/>
      <w:sz w:val="24"/>
      <w:szCs w:val="24"/>
    </w:rPr>
  </w:style>
  <w:style w:type="character" w:styleId="ListLabel352">
    <w:name w:val="ListLabel 352"/>
    <w:qFormat/>
    <w:rPr>
      <w:rFonts w:cs="Courier New"/>
    </w:rPr>
  </w:style>
  <w:style w:type="character" w:styleId="ListLabel353">
    <w:name w:val="ListLabel 353"/>
    <w:qFormat/>
    <w:rPr>
      <w:rFonts w:cs="Wingdings"/>
    </w:rPr>
  </w:style>
  <w:style w:type="character" w:styleId="ListLabel354">
    <w:name w:val="ListLabel 354"/>
    <w:qFormat/>
    <w:rPr>
      <w:rFonts w:cs="Symbol"/>
    </w:rPr>
  </w:style>
  <w:style w:type="character" w:styleId="ListLabel355">
    <w:name w:val="ListLabel 355"/>
    <w:qFormat/>
    <w:rPr>
      <w:rFonts w:cs="Courier New"/>
    </w:rPr>
  </w:style>
  <w:style w:type="character" w:styleId="ListLabel356">
    <w:name w:val="ListLabel 356"/>
    <w:qFormat/>
    <w:rPr>
      <w:rFonts w:cs="Wingdings"/>
    </w:rPr>
  </w:style>
  <w:style w:type="character" w:styleId="ListLabel357">
    <w:name w:val="ListLabel 357"/>
    <w:qFormat/>
    <w:rPr>
      <w:rFonts w:cs="Symbol"/>
    </w:rPr>
  </w:style>
  <w:style w:type="character" w:styleId="ListLabel358">
    <w:name w:val="ListLabel 358"/>
    <w:qFormat/>
    <w:rPr>
      <w:rFonts w:cs="Courier New"/>
    </w:rPr>
  </w:style>
  <w:style w:type="character" w:styleId="ListLabel359">
    <w:name w:val="ListLabel 359"/>
    <w:qFormat/>
    <w:rPr>
      <w:rFonts w:cs="Wingdings"/>
    </w:rPr>
  </w:style>
  <w:style w:type="character" w:styleId="ListLabel360">
    <w:name w:val="ListLabel 360"/>
    <w:qFormat/>
    <w:rPr>
      <w:rFonts w:ascii="Courier New" w:hAnsi="Courier New" w:cs="Courier New"/>
      <w:sz w:val="24"/>
      <w:szCs w:val="24"/>
    </w:rPr>
  </w:style>
  <w:style w:type="character" w:styleId="ListLabel361">
    <w:name w:val="ListLabel 361"/>
    <w:qFormat/>
    <w:rPr>
      <w:rFonts w:cs="Courier New"/>
    </w:rPr>
  </w:style>
  <w:style w:type="character" w:styleId="ListLabel362">
    <w:name w:val="ListLabel 362"/>
    <w:qFormat/>
    <w:rPr>
      <w:rFonts w:cs="Wingdings"/>
    </w:rPr>
  </w:style>
  <w:style w:type="character" w:styleId="ListLabel363">
    <w:name w:val="ListLabel 363"/>
    <w:qFormat/>
    <w:rPr>
      <w:rFonts w:cs="Symbol"/>
    </w:rPr>
  </w:style>
  <w:style w:type="character" w:styleId="ListLabel364">
    <w:name w:val="ListLabel 364"/>
    <w:qFormat/>
    <w:rPr>
      <w:rFonts w:cs="Courier New"/>
    </w:rPr>
  </w:style>
  <w:style w:type="character" w:styleId="ListLabel365">
    <w:name w:val="ListLabel 365"/>
    <w:qFormat/>
    <w:rPr>
      <w:rFonts w:cs="Wingdings"/>
    </w:rPr>
  </w:style>
  <w:style w:type="character" w:styleId="ListLabel366">
    <w:name w:val="ListLabel 366"/>
    <w:qFormat/>
    <w:rPr>
      <w:rFonts w:cs="Symbol"/>
    </w:rPr>
  </w:style>
  <w:style w:type="character" w:styleId="ListLabel367">
    <w:name w:val="ListLabel 367"/>
    <w:qFormat/>
    <w:rPr>
      <w:rFonts w:cs="Courier New"/>
    </w:rPr>
  </w:style>
  <w:style w:type="character" w:styleId="ListLabel368">
    <w:name w:val="ListLabel 368"/>
    <w:qFormat/>
    <w:rPr>
      <w:rFonts w:cs="Wingdings"/>
    </w:rPr>
  </w:style>
  <w:style w:type="character" w:styleId="ListLabel369">
    <w:name w:val="ListLabel 369"/>
    <w:qFormat/>
    <w:rPr>
      <w:rFonts w:ascii="Courier New" w:hAnsi="Courier New"/>
      <w:b w:val="false"/>
      <w:sz w:val="24"/>
    </w:rPr>
  </w:style>
  <w:style w:type="character" w:styleId="ListLabel370">
    <w:name w:val="ListLabel 370"/>
    <w:qFormat/>
    <w:rPr>
      <w:rFonts w:ascii="Courier New" w:hAnsi="Courier New" w:cs="Courier New"/>
      <w:b/>
      <w:sz w:val="24"/>
      <w:szCs w:val="24"/>
    </w:rPr>
  </w:style>
  <w:style w:type="character" w:styleId="ListLabel371">
    <w:name w:val="ListLabel 371"/>
    <w:qFormat/>
    <w:rPr>
      <w:rFonts w:ascii="Courier New" w:hAnsi="Courier New" w:cs="Symbol"/>
      <w:sz w:val="24"/>
    </w:rPr>
  </w:style>
  <w:style w:type="character" w:styleId="ListLabel372">
    <w:name w:val="ListLabel 372"/>
    <w:qFormat/>
    <w:rPr>
      <w:rFonts w:cs="Symbol"/>
    </w:rPr>
  </w:style>
  <w:style w:type="character" w:styleId="ListLabel373">
    <w:name w:val="ListLabel 373"/>
    <w:qFormat/>
    <w:rPr>
      <w:rFonts w:cs="Symbol"/>
      <w:sz w:val="24"/>
    </w:rPr>
  </w:style>
  <w:style w:type="character" w:styleId="ListLabel374">
    <w:name w:val="ListLabel 374"/>
    <w:qFormat/>
    <w:rPr>
      <w:rFonts w:cs="Courier New"/>
    </w:rPr>
  </w:style>
  <w:style w:type="character" w:styleId="ListLabel375">
    <w:name w:val="ListLabel 375"/>
    <w:qFormat/>
    <w:rPr>
      <w:rFonts w:cs="Wingdings"/>
    </w:rPr>
  </w:style>
  <w:style w:type="character" w:styleId="ListLabel376">
    <w:name w:val="ListLabel 376"/>
    <w:qFormat/>
    <w:rPr>
      <w:rFonts w:cs="Symbol"/>
    </w:rPr>
  </w:style>
  <w:style w:type="character" w:styleId="ListLabel377">
    <w:name w:val="ListLabel 377"/>
    <w:qFormat/>
    <w:rPr>
      <w:rFonts w:cs="Courier New"/>
    </w:rPr>
  </w:style>
  <w:style w:type="character" w:styleId="ListLabel378">
    <w:name w:val="ListLabel 378"/>
    <w:qFormat/>
    <w:rPr>
      <w:rFonts w:cs="Wingdings"/>
    </w:rPr>
  </w:style>
  <w:style w:type="character" w:styleId="ListLabel379">
    <w:name w:val="ListLabel 379"/>
    <w:qFormat/>
    <w:rPr>
      <w:rFonts w:cs="Symbol"/>
    </w:rPr>
  </w:style>
  <w:style w:type="character" w:styleId="ListLabel380">
    <w:name w:val="ListLabel 380"/>
    <w:qFormat/>
    <w:rPr>
      <w:rFonts w:cs="Courier New"/>
    </w:rPr>
  </w:style>
  <w:style w:type="character" w:styleId="ListLabel381">
    <w:name w:val="ListLabel 381"/>
    <w:qFormat/>
    <w:rPr>
      <w:rFonts w:cs="Wingdings"/>
    </w:rPr>
  </w:style>
  <w:style w:type="character" w:styleId="ListLabel382">
    <w:name w:val="ListLabel 382"/>
    <w:qFormat/>
    <w:rPr>
      <w:rFonts w:cs="Symbol"/>
      <w:sz w:val="24"/>
    </w:rPr>
  </w:style>
  <w:style w:type="character" w:styleId="ListLabel383">
    <w:name w:val="ListLabel 383"/>
    <w:qFormat/>
    <w:rPr>
      <w:rFonts w:cs="Courier New"/>
    </w:rPr>
  </w:style>
  <w:style w:type="character" w:styleId="ListLabel384">
    <w:name w:val="ListLabel 384"/>
    <w:qFormat/>
    <w:rPr>
      <w:rFonts w:cs="Wingdings"/>
    </w:rPr>
  </w:style>
  <w:style w:type="character" w:styleId="ListLabel385">
    <w:name w:val="ListLabel 385"/>
    <w:qFormat/>
    <w:rPr>
      <w:rFonts w:cs="Symbol"/>
    </w:rPr>
  </w:style>
  <w:style w:type="character" w:styleId="ListLabel386">
    <w:name w:val="ListLabel 386"/>
    <w:qFormat/>
    <w:rPr>
      <w:rFonts w:cs="Courier New"/>
    </w:rPr>
  </w:style>
  <w:style w:type="character" w:styleId="ListLabel387">
    <w:name w:val="ListLabel 387"/>
    <w:qFormat/>
    <w:rPr>
      <w:rFonts w:cs="Wingdings"/>
    </w:rPr>
  </w:style>
  <w:style w:type="character" w:styleId="ListLabel388">
    <w:name w:val="ListLabel 388"/>
    <w:qFormat/>
    <w:rPr>
      <w:rFonts w:cs="Symbol"/>
    </w:rPr>
  </w:style>
  <w:style w:type="character" w:styleId="ListLabel389">
    <w:name w:val="ListLabel 389"/>
    <w:qFormat/>
    <w:rPr>
      <w:rFonts w:cs="Courier New"/>
    </w:rPr>
  </w:style>
  <w:style w:type="character" w:styleId="ListLabel390">
    <w:name w:val="ListLabel 390"/>
    <w:qFormat/>
    <w:rPr>
      <w:rFonts w:cs="Wingdings"/>
    </w:rPr>
  </w:style>
  <w:style w:type="character" w:styleId="ListLabel391">
    <w:name w:val="ListLabel 391"/>
    <w:qFormat/>
    <w:rPr>
      <w:rFonts w:ascii="Courier New" w:hAnsi="Courier New" w:cs="Symbol"/>
      <w:sz w:val="24"/>
    </w:rPr>
  </w:style>
  <w:style w:type="character" w:styleId="ListLabel392">
    <w:name w:val="ListLabel 392"/>
    <w:qFormat/>
    <w:rPr>
      <w:rFonts w:cs="Courier New"/>
    </w:rPr>
  </w:style>
  <w:style w:type="character" w:styleId="ListLabel393">
    <w:name w:val="ListLabel 393"/>
    <w:qFormat/>
    <w:rPr>
      <w:rFonts w:cs="Wingdings"/>
    </w:rPr>
  </w:style>
  <w:style w:type="character" w:styleId="ListLabel394">
    <w:name w:val="ListLabel 394"/>
    <w:qFormat/>
    <w:rPr>
      <w:rFonts w:cs="Symbol"/>
    </w:rPr>
  </w:style>
  <w:style w:type="character" w:styleId="ListLabel395">
    <w:name w:val="ListLabel 395"/>
    <w:qFormat/>
    <w:rPr>
      <w:rFonts w:cs="Courier New"/>
    </w:rPr>
  </w:style>
  <w:style w:type="character" w:styleId="ListLabel396">
    <w:name w:val="ListLabel 396"/>
    <w:qFormat/>
    <w:rPr>
      <w:rFonts w:cs="Wingdings"/>
    </w:rPr>
  </w:style>
  <w:style w:type="character" w:styleId="ListLabel397">
    <w:name w:val="ListLabel 397"/>
    <w:qFormat/>
    <w:rPr>
      <w:rFonts w:cs="Symbol"/>
    </w:rPr>
  </w:style>
  <w:style w:type="character" w:styleId="ListLabel398">
    <w:name w:val="ListLabel 398"/>
    <w:qFormat/>
    <w:rPr>
      <w:rFonts w:cs="Courier New"/>
    </w:rPr>
  </w:style>
  <w:style w:type="character" w:styleId="ListLabel399">
    <w:name w:val="ListLabel 399"/>
    <w:qFormat/>
    <w:rPr>
      <w:rFonts w:cs="Wingdings"/>
    </w:rPr>
  </w:style>
  <w:style w:type="character" w:styleId="ListLabel400">
    <w:name w:val="ListLabel 400"/>
    <w:qFormat/>
    <w:rPr>
      <w:rFonts w:ascii="Courier New" w:hAnsi="Courier New"/>
      <w:sz w:val="24"/>
      <w:szCs w:val="24"/>
    </w:rPr>
  </w:style>
  <w:style w:type="character" w:styleId="ListLabel401">
    <w:name w:val="ListLabel 401"/>
    <w:qFormat/>
    <w:rPr>
      <w:rFonts w:ascii="Courier New" w:hAnsi="Courier New" w:cs="Courier New"/>
      <w:sz w:val="24"/>
      <w:szCs w:val="24"/>
    </w:rPr>
  </w:style>
  <w:style w:type="character" w:styleId="ListLabel402">
    <w:name w:val="ListLabel 402"/>
    <w:qFormat/>
    <w:rPr>
      <w:rFonts w:cs="Courier New"/>
    </w:rPr>
  </w:style>
  <w:style w:type="character" w:styleId="ListLabel403">
    <w:name w:val="ListLabel 403"/>
    <w:qFormat/>
    <w:rPr>
      <w:rFonts w:cs="Wingdings"/>
    </w:rPr>
  </w:style>
  <w:style w:type="character" w:styleId="ListLabel404">
    <w:name w:val="ListLabel 404"/>
    <w:qFormat/>
    <w:rPr>
      <w:rFonts w:cs="Symbol"/>
    </w:rPr>
  </w:style>
  <w:style w:type="character" w:styleId="ListLabel405">
    <w:name w:val="ListLabel 405"/>
    <w:qFormat/>
    <w:rPr>
      <w:rFonts w:cs="Courier New"/>
    </w:rPr>
  </w:style>
  <w:style w:type="character" w:styleId="ListLabel406">
    <w:name w:val="ListLabel 406"/>
    <w:qFormat/>
    <w:rPr>
      <w:rFonts w:cs="Wingdings"/>
    </w:rPr>
  </w:style>
  <w:style w:type="character" w:styleId="ListLabel407">
    <w:name w:val="ListLabel 407"/>
    <w:qFormat/>
    <w:rPr>
      <w:rFonts w:cs="Symbol"/>
    </w:rPr>
  </w:style>
  <w:style w:type="character" w:styleId="ListLabel408">
    <w:name w:val="ListLabel 408"/>
    <w:qFormat/>
    <w:rPr>
      <w:rFonts w:cs="Courier New"/>
    </w:rPr>
  </w:style>
  <w:style w:type="character" w:styleId="ListLabel409">
    <w:name w:val="ListLabel 409"/>
    <w:qFormat/>
    <w:rPr>
      <w:rFonts w:cs="Wingdings"/>
    </w:rPr>
  </w:style>
  <w:style w:type="character" w:styleId="ListLabel410">
    <w:name w:val="ListLabel 410"/>
    <w:qFormat/>
    <w:rPr>
      <w:rFonts w:ascii="Courier New" w:hAnsi="Courier New" w:cs="Courier New"/>
      <w:sz w:val="24"/>
      <w:szCs w:val="24"/>
    </w:rPr>
  </w:style>
  <w:style w:type="character" w:styleId="ListLabel411">
    <w:name w:val="ListLabel 411"/>
    <w:qFormat/>
    <w:rPr>
      <w:rFonts w:cs="Courier New"/>
    </w:rPr>
  </w:style>
  <w:style w:type="character" w:styleId="ListLabel412">
    <w:name w:val="ListLabel 412"/>
    <w:qFormat/>
    <w:rPr>
      <w:rFonts w:cs="Wingdings"/>
    </w:rPr>
  </w:style>
  <w:style w:type="character" w:styleId="ListLabel413">
    <w:name w:val="ListLabel 413"/>
    <w:qFormat/>
    <w:rPr>
      <w:rFonts w:cs="Symbol"/>
    </w:rPr>
  </w:style>
  <w:style w:type="character" w:styleId="ListLabel414">
    <w:name w:val="ListLabel 414"/>
    <w:qFormat/>
    <w:rPr>
      <w:rFonts w:cs="Courier New"/>
    </w:rPr>
  </w:style>
  <w:style w:type="character" w:styleId="ListLabel415">
    <w:name w:val="ListLabel 415"/>
    <w:qFormat/>
    <w:rPr>
      <w:rFonts w:cs="Wingdings"/>
    </w:rPr>
  </w:style>
  <w:style w:type="character" w:styleId="ListLabel416">
    <w:name w:val="ListLabel 416"/>
    <w:qFormat/>
    <w:rPr>
      <w:rFonts w:cs="Symbol"/>
    </w:rPr>
  </w:style>
  <w:style w:type="character" w:styleId="ListLabel417">
    <w:name w:val="ListLabel 417"/>
    <w:qFormat/>
    <w:rPr>
      <w:rFonts w:cs="Courier New"/>
    </w:rPr>
  </w:style>
  <w:style w:type="character" w:styleId="ListLabel418">
    <w:name w:val="ListLabel 418"/>
    <w:qFormat/>
    <w:rPr>
      <w:rFonts w:cs="Wingdings"/>
    </w:rPr>
  </w:style>
  <w:style w:type="character" w:styleId="ListLabel419">
    <w:name w:val="ListLabel 419"/>
    <w:qFormat/>
    <w:rPr>
      <w:rFonts w:ascii="Courier New" w:hAnsi="Courier New"/>
      <w:b w:val="false"/>
      <w:sz w:val="24"/>
    </w:rPr>
  </w:style>
  <w:style w:type="character" w:styleId="ListLabel420">
    <w:name w:val="ListLabel 420"/>
    <w:qFormat/>
    <w:rPr>
      <w:rFonts w:ascii="Courier New" w:hAnsi="Courier New" w:cs="Courier New"/>
      <w:b/>
      <w:sz w:val="24"/>
      <w:szCs w:val="24"/>
    </w:rPr>
  </w:style>
  <w:style w:type="character" w:styleId="ListLabel421">
    <w:name w:val="ListLabel 421"/>
    <w:qFormat/>
    <w:rPr>
      <w:rFonts w:ascii="Courier New" w:hAnsi="Courier New" w:cs="Symbol"/>
      <w:sz w:val="24"/>
    </w:rPr>
  </w:style>
  <w:style w:type="character" w:styleId="ListLabel422">
    <w:name w:val="ListLabel 422"/>
    <w:qFormat/>
    <w:rPr>
      <w:rFonts w:cs="Symbol"/>
    </w:rPr>
  </w:style>
  <w:style w:type="character" w:styleId="ListLabel423">
    <w:name w:val="ListLabel 423"/>
    <w:qFormat/>
    <w:rPr>
      <w:rFonts w:cs="Symbol"/>
      <w:sz w:val="24"/>
    </w:rPr>
  </w:style>
  <w:style w:type="character" w:styleId="ListLabel424">
    <w:name w:val="ListLabel 424"/>
    <w:qFormat/>
    <w:rPr>
      <w:rFonts w:cs="Courier New"/>
    </w:rPr>
  </w:style>
  <w:style w:type="character" w:styleId="ListLabel425">
    <w:name w:val="ListLabel 425"/>
    <w:qFormat/>
    <w:rPr>
      <w:rFonts w:cs="Wingdings"/>
    </w:rPr>
  </w:style>
  <w:style w:type="character" w:styleId="ListLabel426">
    <w:name w:val="ListLabel 426"/>
    <w:qFormat/>
    <w:rPr>
      <w:rFonts w:cs="Symbol"/>
    </w:rPr>
  </w:style>
  <w:style w:type="character" w:styleId="ListLabel427">
    <w:name w:val="ListLabel 427"/>
    <w:qFormat/>
    <w:rPr>
      <w:rFonts w:cs="Courier New"/>
    </w:rPr>
  </w:style>
  <w:style w:type="character" w:styleId="ListLabel428">
    <w:name w:val="ListLabel 428"/>
    <w:qFormat/>
    <w:rPr>
      <w:rFonts w:cs="Wingdings"/>
    </w:rPr>
  </w:style>
  <w:style w:type="character" w:styleId="ListLabel429">
    <w:name w:val="ListLabel 429"/>
    <w:qFormat/>
    <w:rPr>
      <w:rFonts w:cs="Symbol"/>
    </w:rPr>
  </w:style>
  <w:style w:type="character" w:styleId="ListLabel430">
    <w:name w:val="ListLabel 430"/>
    <w:qFormat/>
    <w:rPr>
      <w:rFonts w:cs="Courier New"/>
    </w:rPr>
  </w:style>
  <w:style w:type="character" w:styleId="ListLabel431">
    <w:name w:val="ListLabel 431"/>
    <w:qFormat/>
    <w:rPr>
      <w:rFonts w:cs="Wingdings"/>
    </w:rPr>
  </w:style>
  <w:style w:type="character" w:styleId="ListLabel432">
    <w:name w:val="ListLabel 432"/>
    <w:qFormat/>
    <w:rPr>
      <w:rFonts w:cs="Symbol"/>
      <w:sz w:val="24"/>
    </w:rPr>
  </w:style>
  <w:style w:type="character" w:styleId="ListLabel433">
    <w:name w:val="ListLabel 433"/>
    <w:qFormat/>
    <w:rPr>
      <w:rFonts w:cs="Courier New"/>
    </w:rPr>
  </w:style>
  <w:style w:type="character" w:styleId="ListLabel434">
    <w:name w:val="ListLabel 434"/>
    <w:qFormat/>
    <w:rPr>
      <w:rFonts w:cs="Wingdings"/>
    </w:rPr>
  </w:style>
  <w:style w:type="character" w:styleId="ListLabel435">
    <w:name w:val="ListLabel 435"/>
    <w:qFormat/>
    <w:rPr>
      <w:rFonts w:cs="Symbol"/>
    </w:rPr>
  </w:style>
  <w:style w:type="character" w:styleId="ListLabel436">
    <w:name w:val="ListLabel 436"/>
    <w:qFormat/>
    <w:rPr>
      <w:rFonts w:cs="Courier New"/>
    </w:rPr>
  </w:style>
  <w:style w:type="character" w:styleId="ListLabel437">
    <w:name w:val="ListLabel 437"/>
    <w:qFormat/>
    <w:rPr>
      <w:rFonts w:cs="Wingdings"/>
    </w:rPr>
  </w:style>
  <w:style w:type="character" w:styleId="ListLabel438">
    <w:name w:val="ListLabel 438"/>
    <w:qFormat/>
    <w:rPr>
      <w:rFonts w:cs="Symbol"/>
    </w:rPr>
  </w:style>
  <w:style w:type="character" w:styleId="ListLabel439">
    <w:name w:val="ListLabel 439"/>
    <w:qFormat/>
    <w:rPr>
      <w:rFonts w:cs="Courier New"/>
    </w:rPr>
  </w:style>
  <w:style w:type="character" w:styleId="ListLabel440">
    <w:name w:val="ListLabel 440"/>
    <w:qFormat/>
    <w:rPr>
      <w:rFonts w:cs="Wingdings"/>
    </w:rPr>
  </w:style>
  <w:style w:type="character" w:styleId="ListLabel441">
    <w:name w:val="ListLabel 441"/>
    <w:qFormat/>
    <w:rPr>
      <w:rFonts w:ascii="Courier New" w:hAnsi="Courier New" w:cs="Symbol"/>
      <w:sz w:val="24"/>
    </w:rPr>
  </w:style>
  <w:style w:type="character" w:styleId="ListLabel442">
    <w:name w:val="ListLabel 442"/>
    <w:qFormat/>
    <w:rPr>
      <w:rFonts w:cs="Courier New"/>
    </w:rPr>
  </w:style>
  <w:style w:type="character" w:styleId="ListLabel443">
    <w:name w:val="ListLabel 443"/>
    <w:qFormat/>
    <w:rPr>
      <w:rFonts w:cs="Wingdings"/>
    </w:rPr>
  </w:style>
  <w:style w:type="character" w:styleId="ListLabel444">
    <w:name w:val="ListLabel 444"/>
    <w:qFormat/>
    <w:rPr>
      <w:rFonts w:cs="Symbol"/>
    </w:rPr>
  </w:style>
  <w:style w:type="character" w:styleId="ListLabel445">
    <w:name w:val="ListLabel 445"/>
    <w:qFormat/>
    <w:rPr>
      <w:rFonts w:cs="Courier New"/>
    </w:rPr>
  </w:style>
  <w:style w:type="character" w:styleId="ListLabel446">
    <w:name w:val="ListLabel 446"/>
    <w:qFormat/>
    <w:rPr>
      <w:rFonts w:cs="Wingdings"/>
    </w:rPr>
  </w:style>
  <w:style w:type="character" w:styleId="ListLabel447">
    <w:name w:val="ListLabel 447"/>
    <w:qFormat/>
    <w:rPr>
      <w:rFonts w:cs="Symbol"/>
    </w:rPr>
  </w:style>
  <w:style w:type="character" w:styleId="ListLabel448">
    <w:name w:val="ListLabel 448"/>
    <w:qFormat/>
    <w:rPr>
      <w:rFonts w:cs="Courier New"/>
    </w:rPr>
  </w:style>
  <w:style w:type="character" w:styleId="ListLabel449">
    <w:name w:val="ListLabel 449"/>
    <w:qFormat/>
    <w:rPr>
      <w:rFonts w:cs="Wingdings"/>
    </w:rPr>
  </w:style>
  <w:style w:type="character" w:styleId="ListLabel450">
    <w:name w:val="ListLabel 450"/>
    <w:qFormat/>
    <w:rPr>
      <w:rFonts w:ascii="Courier New" w:hAnsi="Courier New"/>
      <w:sz w:val="24"/>
      <w:szCs w:val="24"/>
    </w:rPr>
  </w:style>
  <w:style w:type="character" w:styleId="ListLabel451">
    <w:name w:val="ListLabel 451"/>
    <w:qFormat/>
    <w:rPr>
      <w:rFonts w:ascii="Courier New" w:hAnsi="Courier New" w:cs="Courier New"/>
      <w:sz w:val="24"/>
      <w:szCs w:val="24"/>
    </w:rPr>
  </w:style>
  <w:style w:type="character" w:styleId="ListLabel452">
    <w:name w:val="ListLabel 452"/>
    <w:qFormat/>
    <w:rPr>
      <w:rFonts w:cs="Courier New"/>
    </w:rPr>
  </w:style>
  <w:style w:type="character" w:styleId="ListLabel453">
    <w:name w:val="ListLabel 453"/>
    <w:qFormat/>
    <w:rPr>
      <w:rFonts w:cs="Wingdings"/>
    </w:rPr>
  </w:style>
  <w:style w:type="character" w:styleId="ListLabel454">
    <w:name w:val="ListLabel 454"/>
    <w:qFormat/>
    <w:rPr>
      <w:rFonts w:cs="Symbol"/>
    </w:rPr>
  </w:style>
  <w:style w:type="character" w:styleId="ListLabel455">
    <w:name w:val="ListLabel 455"/>
    <w:qFormat/>
    <w:rPr>
      <w:rFonts w:cs="Courier New"/>
    </w:rPr>
  </w:style>
  <w:style w:type="character" w:styleId="ListLabel456">
    <w:name w:val="ListLabel 456"/>
    <w:qFormat/>
    <w:rPr>
      <w:rFonts w:cs="Wingdings"/>
    </w:rPr>
  </w:style>
  <w:style w:type="character" w:styleId="ListLabel457">
    <w:name w:val="ListLabel 457"/>
    <w:qFormat/>
    <w:rPr>
      <w:rFonts w:cs="Symbol"/>
    </w:rPr>
  </w:style>
  <w:style w:type="character" w:styleId="ListLabel458">
    <w:name w:val="ListLabel 458"/>
    <w:qFormat/>
    <w:rPr>
      <w:rFonts w:cs="Courier New"/>
    </w:rPr>
  </w:style>
  <w:style w:type="character" w:styleId="ListLabel459">
    <w:name w:val="ListLabel 459"/>
    <w:qFormat/>
    <w:rPr>
      <w:rFonts w:cs="Wingdings"/>
    </w:rPr>
  </w:style>
  <w:style w:type="character" w:styleId="ListLabel460">
    <w:name w:val="ListLabel 460"/>
    <w:qFormat/>
    <w:rPr>
      <w:rFonts w:ascii="Courier New" w:hAnsi="Courier New" w:cs="Courier New"/>
      <w:sz w:val="24"/>
      <w:szCs w:val="24"/>
    </w:rPr>
  </w:style>
  <w:style w:type="character" w:styleId="ListLabel461">
    <w:name w:val="ListLabel 461"/>
    <w:qFormat/>
    <w:rPr>
      <w:rFonts w:cs="Courier New"/>
    </w:rPr>
  </w:style>
  <w:style w:type="character" w:styleId="ListLabel462">
    <w:name w:val="ListLabel 462"/>
    <w:qFormat/>
    <w:rPr>
      <w:rFonts w:cs="Wingdings"/>
    </w:rPr>
  </w:style>
  <w:style w:type="character" w:styleId="ListLabel463">
    <w:name w:val="ListLabel 463"/>
    <w:qFormat/>
    <w:rPr>
      <w:rFonts w:cs="Symbol"/>
    </w:rPr>
  </w:style>
  <w:style w:type="character" w:styleId="ListLabel464">
    <w:name w:val="ListLabel 464"/>
    <w:qFormat/>
    <w:rPr>
      <w:rFonts w:cs="Courier New"/>
    </w:rPr>
  </w:style>
  <w:style w:type="character" w:styleId="ListLabel465">
    <w:name w:val="ListLabel 465"/>
    <w:qFormat/>
    <w:rPr>
      <w:rFonts w:cs="Wingdings"/>
    </w:rPr>
  </w:style>
  <w:style w:type="character" w:styleId="ListLabel466">
    <w:name w:val="ListLabel 466"/>
    <w:qFormat/>
    <w:rPr>
      <w:rFonts w:cs="Symbol"/>
    </w:rPr>
  </w:style>
  <w:style w:type="character" w:styleId="ListLabel467">
    <w:name w:val="ListLabel 467"/>
    <w:qFormat/>
    <w:rPr>
      <w:rFonts w:cs="Courier New"/>
    </w:rPr>
  </w:style>
  <w:style w:type="character" w:styleId="ListLabel468">
    <w:name w:val="ListLabel 468"/>
    <w:qFormat/>
    <w:rPr>
      <w:rFonts w:cs="Wingdings"/>
    </w:rPr>
  </w:style>
  <w:style w:type="character" w:styleId="ListLabel469">
    <w:name w:val="ListLabel 469"/>
    <w:qFormat/>
    <w:rPr>
      <w:rFonts w:ascii="Courier New" w:hAnsi="Courier New"/>
      <w:b w:val="false"/>
      <w:sz w:val="24"/>
    </w:rPr>
  </w:style>
  <w:style w:type="character" w:styleId="ListLabel470">
    <w:name w:val="ListLabel 470"/>
    <w:qFormat/>
    <w:rPr>
      <w:rFonts w:ascii="Courier New" w:hAnsi="Courier New" w:cs="Courier New"/>
      <w:b/>
      <w:sz w:val="24"/>
      <w:szCs w:val="24"/>
    </w:rPr>
  </w:style>
  <w:style w:type="character" w:styleId="ListLabel471">
    <w:name w:val="ListLabel 471"/>
    <w:qFormat/>
    <w:rPr>
      <w:rFonts w:ascii="Courier New" w:hAnsi="Courier New" w:cs="Symbol"/>
      <w:sz w:val="24"/>
    </w:rPr>
  </w:style>
  <w:style w:type="character" w:styleId="ListLabel472">
    <w:name w:val="ListLabel 472"/>
    <w:qFormat/>
    <w:rPr>
      <w:rFonts w:cs="Symbol"/>
    </w:rPr>
  </w:style>
  <w:style w:type="character" w:styleId="ListLabel473">
    <w:name w:val="ListLabel 473"/>
    <w:qFormat/>
    <w:rPr>
      <w:rFonts w:cs="Symbol"/>
      <w:sz w:val="24"/>
    </w:rPr>
  </w:style>
  <w:style w:type="character" w:styleId="ListLabel474">
    <w:name w:val="ListLabel 474"/>
    <w:qFormat/>
    <w:rPr>
      <w:rFonts w:cs="Courier New"/>
    </w:rPr>
  </w:style>
  <w:style w:type="character" w:styleId="ListLabel475">
    <w:name w:val="ListLabel 475"/>
    <w:qFormat/>
    <w:rPr>
      <w:rFonts w:cs="Wingdings"/>
    </w:rPr>
  </w:style>
  <w:style w:type="character" w:styleId="ListLabel476">
    <w:name w:val="ListLabel 476"/>
    <w:qFormat/>
    <w:rPr>
      <w:rFonts w:cs="Symbol"/>
    </w:rPr>
  </w:style>
  <w:style w:type="character" w:styleId="ListLabel477">
    <w:name w:val="ListLabel 477"/>
    <w:qFormat/>
    <w:rPr>
      <w:rFonts w:cs="Courier New"/>
    </w:rPr>
  </w:style>
  <w:style w:type="character" w:styleId="ListLabel478">
    <w:name w:val="ListLabel 478"/>
    <w:qFormat/>
    <w:rPr>
      <w:rFonts w:cs="Wingdings"/>
    </w:rPr>
  </w:style>
  <w:style w:type="character" w:styleId="ListLabel479">
    <w:name w:val="ListLabel 479"/>
    <w:qFormat/>
    <w:rPr>
      <w:rFonts w:cs="Symbol"/>
    </w:rPr>
  </w:style>
  <w:style w:type="character" w:styleId="ListLabel480">
    <w:name w:val="ListLabel 480"/>
    <w:qFormat/>
    <w:rPr>
      <w:rFonts w:cs="Courier New"/>
    </w:rPr>
  </w:style>
  <w:style w:type="character" w:styleId="ListLabel481">
    <w:name w:val="ListLabel 481"/>
    <w:qFormat/>
    <w:rPr>
      <w:rFonts w:cs="Wingdings"/>
    </w:rPr>
  </w:style>
  <w:style w:type="character" w:styleId="ListLabel482">
    <w:name w:val="ListLabel 482"/>
    <w:qFormat/>
    <w:rPr>
      <w:rFonts w:cs="Symbol"/>
      <w:sz w:val="24"/>
    </w:rPr>
  </w:style>
  <w:style w:type="character" w:styleId="ListLabel483">
    <w:name w:val="ListLabel 483"/>
    <w:qFormat/>
    <w:rPr>
      <w:rFonts w:cs="Courier New"/>
    </w:rPr>
  </w:style>
  <w:style w:type="character" w:styleId="ListLabel484">
    <w:name w:val="ListLabel 484"/>
    <w:qFormat/>
    <w:rPr>
      <w:rFonts w:cs="Wingdings"/>
    </w:rPr>
  </w:style>
  <w:style w:type="character" w:styleId="ListLabel485">
    <w:name w:val="ListLabel 485"/>
    <w:qFormat/>
    <w:rPr>
      <w:rFonts w:cs="Symbol"/>
    </w:rPr>
  </w:style>
  <w:style w:type="character" w:styleId="ListLabel486">
    <w:name w:val="ListLabel 486"/>
    <w:qFormat/>
    <w:rPr>
      <w:rFonts w:cs="Courier New"/>
    </w:rPr>
  </w:style>
  <w:style w:type="character" w:styleId="ListLabel487">
    <w:name w:val="ListLabel 487"/>
    <w:qFormat/>
    <w:rPr>
      <w:rFonts w:cs="Wingdings"/>
    </w:rPr>
  </w:style>
  <w:style w:type="character" w:styleId="ListLabel488">
    <w:name w:val="ListLabel 488"/>
    <w:qFormat/>
    <w:rPr>
      <w:rFonts w:cs="Symbol"/>
    </w:rPr>
  </w:style>
  <w:style w:type="character" w:styleId="ListLabel489">
    <w:name w:val="ListLabel 489"/>
    <w:qFormat/>
    <w:rPr>
      <w:rFonts w:cs="Courier New"/>
    </w:rPr>
  </w:style>
  <w:style w:type="character" w:styleId="ListLabel490">
    <w:name w:val="ListLabel 490"/>
    <w:qFormat/>
    <w:rPr>
      <w:rFonts w:cs="Wingdings"/>
    </w:rPr>
  </w:style>
  <w:style w:type="character" w:styleId="ListLabel491">
    <w:name w:val="ListLabel 491"/>
    <w:qFormat/>
    <w:rPr>
      <w:rFonts w:ascii="Courier New" w:hAnsi="Courier New" w:cs="Symbol"/>
      <w:sz w:val="24"/>
    </w:rPr>
  </w:style>
  <w:style w:type="character" w:styleId="ListLabel492">
    <w:name w:val="ListLabel 492"/>
    <w:qFormat/>
    <w:rPr>
      <w:rFonts w:cs="Courier New"/>
    </w:rPr>
  </w:style>
  <w:style w:type="character" w:styleId="ListLabel493">
    <w:name w:val="ListLabel 493"/>
    <w:qFormat/>
    <w:rPr>
      <w:rFonts w:cs="Wingdings"/>
    </w:rPr>
  </w:style>
  <w:style w:type="character" w:styleId="ListLabel494">
    <w:name w:val="ListLabel 494"/>
    <w:qFormat/>
    <w:rPr>
      <w:rFonts w:cs="Symbol"/>
    </w:rPr>
  </w:style>
  <w:style w:type="character" w:styleId="ListLabel495">
    <w:name w:val="ListLabel 495"/>
    <w:qFormat/>
    <w:rPr>
      <w:rFonts w:cs="Courier New"/>
    </w:rPr>
  </w:style>
  <w:style w:type="character" w:styleId="ListLabel496">
    <w:name w:val="ListLabel 496"/>
    <w:qFormat/>
    <w:rPr>
      <w:rFonts w:cs="Wingdings"/>
    </w:rPr>
  </w:style>
  <w:style w:type="character" w:styleId="ListLabel497">
    <w:name w:val="ListLabel 497"/>
    <w:qFormat/>
    <w:rPr>
      <w:rFonts w:cs="Symbol"/>
    </w:rPr>
  </w:style>
  <w:style w:type="character" w:styleId="ListLabel498">
    <w:name w:val="ListLabel 498"/>
    <w:qFormat/>
    <w:rPr>
      <w:rFonts w:cs="Courier New"/>
    </w:rPr>
  </w:style>
  <w:style w:type="character" w:styleId="ListLabel499">
    <w:name w:val="ListLabel 499"/>
    <w:qFormat/>
    <w:rPr>
      <w:rFonts w:cs="Wingdings"/>
    </w:rPr>
  </w:style>
  <w:style w:type="character" w:styleId="ListLabel500">
    <w:name w:val="ListLabel 500"/>
    <w:qFormat/>
    <w:rPr>
      <w:rFonts w:ascii="Courier New" w:hAnsi="Courier New"/>
      <w:sz w:val="24"/>
      <w:szCs w:val="24"/>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f32bcf"/>
    <w:pPr>
      <w:widowControl/>
      <w:ind w:left="720" w:hanging="0"/>
    </w:pPr>
    <w:rPr/>
  </w:style>
  <w:style w:type="paragraph" w:styleId="TESTO" w:customStyle="1">
    <w:name w:val="TESTO"/>
    <w:basedOn w:val="Normal"/>
    <w:qFormat/>
    <w:rsid w:val="00f32bcf"/>
    <w:pPr>
      <w:widowControl/>
      <w:tabs>
        <w:tab w:val="clear" w:pos="708"/>
        <w:tab w:val="left" w:pos="709" w:leader="none"/>
      </w:tabs>
      <w:spacing w:lineRule="auto" w:line="240" w:before="120" w:after="120"/>
      <w:ind w:firstLine="709"/>
      <w:jc w:val="both"/>
    </w:pPr>
    <w:rPr>
      <w:rFonts w:ascii="Courier New" w:hAnsi="Courier New" w:eastAsia="Times New Roman" w:cs="Courier New"/>
      <w:kern w:val="0"/>
      <w:sz w:val="24"/>
      <w:szCs w:val="20"/>
      <w:lang w:eastAsia="ar-SA"/>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orma.regione.emilia-romagna.it/i/ente-atti-e-leggi/come-funziona/privacy/giunta/la-normativa-sulla-privacy"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Relationship Id="rId10" Type="http://schemas.openxmlformats.org/officeDocument/2006/relationships/customXml" Target="../customXml/item4.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332D2815A8E125418A0045482C7D1AE5" ma:contentTypeVersion="27" ma:contentTypeDescription="Creare un nuovo documento." ma:contentTypeScope="" ma:versionID="a0c39d3f463bcd0c152fa7e631981cd9">
  <xsd:schema xmlns:xsd="http://www.w3.org/2001/XMLSchema" xmlns:xs="http://www.w3.org/2001/XMLSchema" xmlns:p="http://schemas.microsoft.com/office/2006/metadata/properties" xmlns:ns2="8d8d0aaa-d3ae-4bbb-a328-844dc55f731e" xmlns:ns3="5929daef-c0dd-4a31-9a60-db9a8bbd86e3" targetNamespace="http://schemas.microsoft.com/office/2006/metadata/properties" ma:root="true" ma:fieldsID="835dc898127e1bd4569c678f9763c5c7" ns2:_="" ns3:_="">
    <xsd:import namespace="8d8d0aaa-d3ae-4bbb-a328-844dc55f731e"/>
    <xsd:import namespace="5929daef-c0dd-4a31-9a60-db9a8bbd86e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8d0aaa-d3ae-4bbb-a328-844dc55f7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29daef-c0dd-4a31-9a60-db9a8bbd86e3"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7"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AAC5BC-6C85-48BA-A686-30B1BC53CEC2}">
  <ds:schemaRefs>
    <ds:schemaRef ds:uri="http://schemas.openxmlformats.org/officeDocument/2006/bibliography"/>
  </ds:schemaRefs>
</ds:datastoreItem>
</file>

<file path=customXml/itemProps2.xml><?xml version="1.0" encoding="utf-8"?>
<ds:datastoreItem xmlns:ds="http://schemas.openxmlformats.org/officeDocument/2006/customXml" ds:itemID="{C355A643-EFDF-407D-85AE-8A20375E5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8d0aaa-d3ae-4bbb-a328-844dc55f731e"/>
    <ds:schemaRef ds:uri="5929daef-c0dd-4a31-9a60-db9a8bbd8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CFDAD1-61B9-4A9A-AA61-771EE29558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597893-7BF0-449B-B843-9CAA0D0E82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Application>LibreOffice/6.2.2.2$Windows_X86_64 LibreOffice_project/2b840030fec2aae0fd2658d8d4f9548af4e3518d</Application>
  <Pages>17</Pages>
  <Words>4775</Words>
  <Characters>29867</Characters>
  <CharactersWithSpaces>34539</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2021-07-02T10:06:00Z</dcterms:created>
  <dc:creator>Carra Camilla</dc:creator>
  <dc:description/>
  <dc:language>it-IT</dc:language>
  <cp:lastModifiedBy>Arezia Benevelli</cp:lastModifiedBy>
  <dcterms:modified xsi:type="dcterms:W3CDTF">2021-09-15T10:20:58Z</dcterms:modified>
  <cp:revision>40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0x010100332D2815A8E125418A0045482C7D1AE5</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