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b/>
          <w:b/>
        </w:rPr>
      </w:pPr>
      <w:r>
        <w:rPr>
          <w:b/>
        </w:rPr>
        <w:t>ATTO INTEGRATIVO N° 1</w:t>
      </w:r>
    </w:p>
    <w:p>
      <w:pPr>
        <w:pStyle w:val="Normal"/>
        <w:jc w:val="both"/>
        <w:rPr/>
      </w:pPr>
      <w:r>
        <w:rPr>
          <w:b/>
        </w:rPr>
        <w:t>AL PROTOCOLLO DI INTESA TRA IL COMUNE DI REGGIO EMILIA, FERROVIE EMILIA ROMAGNA S.R.L. E REGIONE EMILIA ROMAGNA PER</w:t>
      </w:r>
    </w:p>
    <w:p>
      <w:pPr>
        <w:pStyle w:val="Normal"/>
        <w:tabs>
          <w:tab w:val="clear" w:pos="720"/>
          <w:tab w:val="left" w:pos="225" w:leader="none"/>
        </w:tabs>
        <w:ind w:left="227" w:hanging="227"/>
        <w:jc w:val="both"/>
        <w:rPr/>
      </w:pPr>
      <w:r>
        <w:rPr>
          <w:b/>
        </w:rPr>
        <w:t>1.</w:t>
        <w:tab/>
        <w:t>LA REALIZZAZIONE DI INTERVENTI SUI PASSAGGI A LIVELLO DELLE LINEE FERROVIARIE REGGIO EMILIA – GUASTALLA, REGGIO EMILIA - SASSUOLO E REGGIO EMILIA – CIANO D’ENZA IN COMUNE DI REGGIO EMILIA, VOLTI ALLA RAZIONALIZZAZIONE E AL MIGLIORAMENTO DELLE CONDIZIONI DI SICUREZZA DEI PUNTI DI INTERFERENZA DELLA RETE FERROVIARIA CON LA VIABILITÀ STRADALE.</w:t>
      </w:r>
    </w:p>
    <w:p>
      <w:pPr>
        <w:pStyle w:val="Normal"/>
        <w:tabs>
          <w:tab w:val="clear" w:pos="720"/>
          <w:tab w:val="left" w:pos="225" w:leader="none"/>
        </w:tabs>
        <w:ind w:left="227" w:hanging="227"/>
        <w:jc w:val="both"/>
        <w:rPr/>
      </w:pPr>
      <w:r>
        <w:rPr>
          <w:b/>
        </w:rPr>
        <w:t>2.</w:t>
        <w:tab/>
        <w:t>COMPLETAMENTO ED OTTIMIZZAZIONE DELL’ATTRAVERSAMENTO DELLA LINEA FERROVIARIA REGGIO EMILIA-GUASTALLA AL KM 22+501 CON IL PROLUNGAMENTO DEL SOTTOPASSO PEDONALE DI ACCESSO AI BINARI DELLA LINEA FERROVIARIA NAZIONALE IN STAZIONE CENTRALE DI REGGIO EMILIA FINALIZZATO AL MIGLIORAMENTO DELL’ACCESSIBILITÀ ALLA STAZIONE FERROVIARIA REGIONALE FER DI REGGIO EMILIA.</w:t>
      </w:r>
    </w:p>
    <w:p>
      <w:pPr>
        <w:pStyle w:val="Normal"/>
        <w:jc w:val="center"/>
        <w:rPr/>
      </w:pPr>
      <w:r>
        <w:rPr/>
        <w:t>TRA</w:t>
      </w:r>
    </w:p>
    <w:p>
      <w:pPr>
        <w:pStyle w:val="Normal"/>
        <w:jc w:val="both"/>
        <w:rPr/>
      </w:pPr>
      <w:r>
        <w:rPr>
          <w:b/>
          <w:bCs/>
        </w:rPr>
        <w:t>COMUNE DI REGGIO EMILIA</w:t>
      </w:r>
      <w:r>
        <w:rPr/>
        <w:t xml:space="preserve">, con sede in Piazza Camillo Prampolini, 1 a Reggio nell’Emilia (RE), codice fiscale e partita iva 00145920351, agente nella persona del Vice Sindaco e Assessore a Rigenerazione ed Area Vasta, Alex Pratissoli, nato a Reggio Emilia il 12/11/1975, codice fiscale PRTLXA755S12H223B, domiciliato  per la carica presso la sede dell'Ente che rappresenta, autorizzato alla sottoscrizione del presente atto in virtù di deliberazione della Giunta Comunale del Comune di Reggio Emilia ID n. </w:t>
      </w:r>
      <w:bookmarkStart w:id="0" w:name="__DdeLink__1345_2778266170"/>
      <w:r>
        <w:rPr/>
        <w:t>_______ in data ____________,</w:t>
      </w:r>
      <w:bookmarkEnd w:id="0"/>
      <w:r>
        <w:rPr/>
        <w:t xml:space="preserve"> agli atti del Comune e da aversi qui per integralmente richiamata e trascritta, nel seguito del presente atto indicato anche, per brevità, come "Comune"</w:t>
      </w:r>
    </w:p>
    <w:p>
      <w:pPr>
        <w:pStyle w:val="Normal"/>
        <w:rPr/>
      </w:pPr>
      <w:r>
        <w:rPr/>
        <w:t>e</w:t>
      </w:r>
    </w:p>
    <w:p>
      <w:pPr>
        <w:pStyle w:val="Normal"/>
        <w:jc w:val="both"/>
        <w:rPr/>
      </w:pPr>
      <w:r>
        <w:rPr>
          <w:b/>
          <w:bCs/>
        </w:rPr>
        <w:t>FERROVIE EMILIA ROMAGNA S.R.L.</w:t>
      </w:r>
      <w:r>
        <w:rPr/>
        <w:t>, con sede in Via Foro Boario 27 a Ferrara (FE), codice fiscale e partita iva 02080471200, agente nella persona del Direttore Generale, Dott. Stefano Masola, nato a Parma il 27/11/1959, codice fiscale MSLSFN59S27G3370, domiciliato  per la carica presso la sede dell'Ente che rappresenta, autorizzato alla sottoscrizione del presente atto in virtù di procura a rogito Notaio  dott. Alessandro Conforti del distretto notarile di Ferrara, con studio in Via Borgo dei Leoni n. 91 sito in Ferrara, Repertorio n. 2168 Raccolta n. 1625, atto registrato a Ferrara il 03 agosto 2017 al n. 4734/1T, nel seguito del presente atto indicato anche, per brevità, come “FER”;</w:t>
      </w:r>
    </w:p>
    <w:p>
      <w:pPr>
        <w:pStyle w:val="Normal"/>
        <w:rPr/>
      </w:pPr>
      <w:r>
        <w:rPr/>
        <w:t>e</w:t>
      </w:r>
    </w:p>
    <w:p>
      <w:pPr>
        <w:pStyle w:val="Normal"/>
        <w:jc w:val="both"/>
        <w:rPr/>
      </w:pPr>
      <w:r>
        <w:rPr>
          <w:b/>
          <w:bCs/>
        </w:rPr>
        <w:t>REGIONE EMILIA ROMAGNA</w:t>
      </w:r>
      <w:r>
        <w:rPr/>
        <w:t xml:space="preserve">, con sede in Bologna, Viale Aldo Moro, 52, codice fiscale e partita iva </w:t>
      </w:r>
      <w:r>
        <w:rPr>
          <w:rFonts w:ascii="CIDFont+F1" w:hAnsi="CIDFont+F1"/>
        </w:rPr>
        <w:t>8006590379</w:t>
      </w:r>
      <w:r>
        <w:rPr/>
        <w:t>, agente nella persona dell’arch. Alessandro Meggiato, nato a Dolo (VE), il 25/08/1970, codice fiscale MGGLSN70M25D325U, domiciliato  per la carica presso la sede dell'Ente che rappresenta, autorizzato alla sottoscrizione del presente atto in virtù di delibera di giunta regionale n° _______ in data ____________, nel seguito del presente atto indicato anche, per brevità, come “Regione”;</w:t>
      </w:r>
    </w:p>
    <w:p>
      <w:pPr>
        <w:pStyle w:val="Normal"/>
        <w:rPr/>
      </w:pPr>
      <w:r>
        <w:rPr/>
      </w:r>
    </w:p>
    <w:p>
      <w:pPr>
        <w:pStyle w:val="Normal"/>
        <w:jc w:val="center"/>
        <w:rPr/>
      </w:pPr>
      <w:r>
        <w:rPr/>
        <w:t>PREMESSE</w:t>
      </w:r>
    </w:p>
    <w:p>
      <w:pPr>
        <w:pStyle w:val="Normal"/>
        <w:ind w:left="68" w:hanging="0"/>
        <w:jc w:val="both"/>
        <w:rPr/>
      </w:pPr>
      <w:r>
        <w:rPr/>
        <w:t>RICHIAMATI i seguenti atti:</w:t>
      </w:r>
    </w:p>
    <w:p>
      <w:pPr>
        <w:pStyle w:val="ListParagraph"/>
        <w:numPr>
          <w:ilvl w:val="0"/>
          <w:numId w:val="3"/>
        </w:numPr>
        <w:spacing w:before="0" w:after="0"/>
        <w:ind w:left="425" w:hanging="357"/>
        <w:contextualSpacing/>
        <w:jc w:val="both"/>
        <w:rPr/>
      </w:pPr>
      <w:r>
        <w:rPr/>
        <w:t>il “Protocollo d’intesa fra il Comune di Reggio Emilia, Ferrovie Emilia Romagna S.r.l. e Regione Emilia Romagna per</w:t>
      </w:r>
    </w:p>
    <w:p>
      <w:pPr>
        <w:pStyle w:val="ListParagraph"/>
        <w:numPr>
          <w:ilvl w:val="1"/>
          <w:numId w:val="4"/>
        </w:numPr>
        <w:spacing w:before="0" w:after="0"/>
        <w:ind w:left="907" w:hanging="340"/>
        <w:contextualSpacing/>
        <w:jc w:val="both"/>
        <w:rPr/>
      </w:pPr>
      <w:r>
        <w:rPr>
          <w:b/>
          <w:bCs/>
        </w:rPr>
        <w:t>la realizzazione di interventi sui passaggi a livello delle linee ferroviarie Reggio Emilia – Guastalla, Reggio Emilia - Sassuolo e Reggio Emilia – Ciano d’Enza in comune di Reggio Emilia, volti alla razionalizzazione e al miglioramento delle condizioni di sicurezza dei punti di interferenza della rete ferroviaria con la viabilità stradale.</w:t>
      </w:r>
    </w:p>
    <w:p>
      <w:pPr>
        <w:pStyle w:val="ListParagraph"/>
        <w:numPr>
          <w:ilvl w:val="1"/>
          <w:numId w:val="4"/>
        </w:numPr>
        <w:spacing w:before="0" w:after="0"/>
        <w:ind w:left="907" w:hanging="340"/>
        <w:contextualSpacing/>
        <w:jc w:val="both"/>
        <w:rPr/>
      </w:pPr>
      <w:r>
        <w:rPr/>
        <w:t xml:space="preserve">completamento ed ottimizzazione dell’attraversamento della linea ferroviaria Reggio Emilia-Guastalla al km 22+501 con il prolungamento del sottopasso pedonale di accesso ai binari della linea ferroviaria nazionale in Stazione Centrale di Reggio Emilia finalizzato al miglioramento dell’accessibilità alla stazione ferroviaria regionale FER di Reggio Emilia.” </w:t>
      </w:r>
    </w:p>
    <w:p>
      <w:pPr>
        <w:pStyle w:val="ListParagraph"/>
        <w:spacing w:before="0" w:after="0"/>
        <w:ind w:left="425" w:hanging="0"/>
        <w:contextualSpacing/>
        <w:jc w:val="both"/>
        <w:rPr/>
      </w:pPr>
      <w:r>
        <w:rPr/>
        <w:t xml:space="preserve">sottoscritto mediante scrittura privata con firma digitale apposta rispettivamente in data 19/02/2021 dal Comune di Reggio Emilia e in data 22/02/2021 da FER e Regione Emilia Romagna (in seguito anche denominato per brevità “Protocollo d’Intesa”), che prevedeva in particolare relativamente al </w:t>
      </w:r>
      <w:r>
        <w:rPr>
          <w:b/>
          <w:bCs/>
        </w:rPr>
        <w:t>punto 1.</w:t>
      </w:r>
      <w:r>
        <w:rPr/>
        <w:t xml:space="preserve"> :</w:t>
      </w:r>
    </w:p>
    <w:p>
      <w:pPr>
        <w:pStyle w:val="ListParagraph"/>
        <w:numPr>
          <w:ilvl w:val="0"/>
          <w:numId w:val="2"/>
        </w:numPr>
        <w:jc w:val="both"/>
        <w:rPr/>
      </w:pPr>
      <w:r>
        <w:rPr/>
        <w:t>la chiusura di due PL con sistema di protezione del tipo a Barriere Complete (BC), rispettivamente n. 5a (progr. Km 2+384 - via della Costituzione) della linea ferroviaria Reggio Emilia – Ciano d’Enza e n. 18 (progr. Km 15+521 - via Lodola) della linea ferroviaria Reggio Emilia – Sassuolo;</w:t>
      </w:r>
    </w:p>
    <w:p>
      <w:pPr>
        <w:pStyle w:val="ListParagraph"/>
        <w:numPr>
          <w:ilvl w:val="0"/>
          <w:numId w:val="2"/>
        </w:numPr>
        <w:ind w:left="1066" w:hanging="357"/>
        <w:jc w:val="both"/>
        <w:rPr/>
      </w:pPr>
      <w:r>
        <w:rPr/>
        <w:t>l’apertura di un nuovo PL, all’interno della stazione di Reggio Emilia FER alla progr. Km 23+075 della linea ferroviaria Reggio Emilia – Guastalla, codificabile come PL n. 3, sito verso Reggio Emilia rispetto al PL di via Adua in Reggio Emilia, motivata da esigenze urbanistiche del Comune di Reggio Emilia per meglio servire il quartiere di Santa Croce posto ad est della linea ferroviaria, oggetto di un importante intervento di riqualificazione in corso;</w:t>
      </w:r>
    </w:p>
    <w:p>
      <w:pPr>
        <w:pStyle w:val="ListParagraph"/>
        <w:numPr>
          <w:ilvl w:val="0"/>
          <w:numId w:val="2"/>
        </w:numPr>
        <w:ind w:left="1066" w:hanging="357"/>
        <w:jc w:val="both"/>
        <w:rPr/>
      </w:pPr>
      <w:r>
        <w:rPr/>
        <w:t>la chiusura del passaggio a livello n. 12 (progr. Km 7 + 918 - via Orsini) della linea ferroviaria Reggio Emilia – Ciano d’Enza, attualmente protetto con sistema a Barriere Complete (BC) tipo UNIFER; subordinata temporalmente alla realizzazione da parte di ANAS del prolungamento della tangenziale nord programmato per il 2020-2024;</w:t>
      </w:r>
    </w:p>
    <w:p>
      <w:pPr>
        <w:pStyle w:val="ListParagraph"/>
        <w:numPr>
          <w:ilvl w:val="0"/>
          <w:numId w:val="2"/>
        </w:numPr>
        <w:ind w:left="1066" w:hanging="357"/>
        <w:jc w:val="both"/>
        <w:rPr/>
      </w:pPr>
      <w:r>
        <w:rPr/>
        <w:t>la prevista futura chiusura di ulteriori due PL con sistema di protezione del tipo a Barriere Complete (BC) tipo UNIFER, rispettivamente n. 13 (progr. Km 8 + 296 - via Antica) della linea ferroviaria Reggio Emilia – Ciano d’Enza e n. 19 (progr. Km 17+740 - via Anna Frank) della linea ferroviaria Reggio Emilia – Sassuolo; subordinata temporalmente al reperimento e messa a disposizione delle risorse finanziare necessarie per la realizzazione di ciascun intervento.</w:t>
      </w:r>
    </w:p>
    <w:p>
      <w:pPr>
        <w:pStyle w:val="ListParagraph"/>
        <w:numPr>
          <w:ilvl w:val="0"/>
          <w:numId w:val="3"/>
        </w:numPr>
        <w:jc w:val="both"/>
        <w:rPr/>
      </w:pPr>
      <w:r>
        <w:rPr/>
        <w:t>la nota Prot. 592 FER000167377 del 01/02/2022 di FER s.r.l., in atti al Protocollo del Comune di Reggio Emilia PG n. 33316 del 08/02/2022, in cui si prospetta, nell’ambito di un più generale accordo tra FER, Comune e Regione, la chiusura del passaggio a livello interno alla stazione di Santo Stefano in prosecuzione a Viale Trento Trieste, rappresentando la conseguente necessità di individuale un nuovo accesso stradale che consenta di accedere alle aree e ai fabbricati posti a nord della linea ferroviaria, individuato sul lato di Via Galliano in un punto corrispondente al prolungamento ideale dell’attuale passaggio a livello. Nella nota FER chiede pertanto al Comune di Reggio Emilia un preventivo assenso all’apertura dell’accesso in oggetto e quale sia il suo inquadramento a livello edilizio/urbanistico in modo dare seguito di conseguenza alle pratiche per la sua concreta realizzazione;</w:t>
      </w:r>
    </w:p>
    <w:p>
      <w:pPr>
        <w:pStyle w:val="Normal"/>
        <w:jc w:val="both"/>
        <w:rPr/>
      </w:pPr>
      <w:r>
        <w:rPr/>
      </w:r>
    </w:p>
    <w:p>
      <w:pPr>
        <w:pStyle w:val="Normal"/>
        <w:jc w:val="both"/>
        <w:rPr/>
      </w:pPr>
      <w:r>
        <w:rPr/>
        <w:t>DATO ATTO che per sopraggiunti impedimenti  le Parti hanno convenuto di non procedere alla realizzazione dei seguenti interventi di cui all’Art. 2 del Protocollo d’Intesa:</w:t>
      </w:r>
    </w:p>
    <w:p>
      <w:pPr>
        <w:pStyle w:val="Normal"/>
        <w:numPr>
          <w:ilvl w:val="0"/>
          <w:numId w:val="5"/>
        </w:numPr>
        <w:jc w:val="both"/>
        <w:rPr/>
      </w:pPr>
      <w:r>
        <w:rPr/>
        <w:t>punto 1.1. soppressione dei PL n. 5a (progr. Km 2+384 - via della Costituzione) della linea ferroviaria Reggio Emilia – Ciano d’Enza;</w:t>
      </w:r>
    </w:p>
    <w:p>
      <w:pPr>
        <w:pStyle w:val="Normal"/>
        <w:numPr>
          <w:ilvl w:val="0"/>
          <w:numId w:val="5"/>
        </w:numPr>
        <w:jc w:val="both"/>
        <w:rPr/>
      </w:pPr>
      <w:r>
        <w:rPr/>
        <w:t>punto 1.2. soppressione dei PL n. 12 (progr. Km 7 + 918 - via Orsini) della linea ferroviaria Reggio Emilia – Ciano d’Enza;</w:t>
      </w:r>
    </w:p>
    <w:p>
      <w:pPr>
        <w:pStyle w:val="Normal"/>
        <w:numPr>
          <w:ilvl w:val="0"/>
          <w:numId w:val="5"/>
        </w:numPr>
        <w:jc w:val="both"/>
        <w:rPr/>
      </w:pPr>
      <w:r>
        <w:rPr/>
        <w:t>punto 1.3. soppressione dei PL n. 18 (progr. Km 15+521 - via Lodola) della linea ferroviaria Reggio Emilia – Sassuolo;</w:t>
      </w:r>
    </w:p>
    <w:p>
      <w:pPr>
        <w:pStyle w:val="Normal"/>
        <w:numPr>
          <w:ilvl w:val="0"/>
          <w:numId w:val="5"/>
        </w:numPr>
        <w:jc w:val="both"/>
        <w:rPr/>
      </w:pPr>
      <w:r>
        <w:rPr/>
        <w:t>punto 1.5. soppressione dei PL n. 19 (progr. Km 17+740 - via Anna Frank) della linea ferroviaria Reggio Emilia – Sassuolo;</w:t>
      </w:r>
    </w:p>
    <w:p>
      <w:pPr>
        <w:pStyle w:val="Normal"/>
        <w:jc w:val="both"/>
        <w:rPr/>
      </w:pPr>
      <w:r>
        <w:rPr/>
      </w:r>
    </w:p>
    <w:p>
      <w:pPr>
        <w:pStyle w:val="Normal"/>
        <w:jc w:val="both"/>
        <w:rPr/>
      </w:pPr>
      <w:r>
        <w:rPr/>
        <w:t>DATO ALTRESÌ ATTO che le Parti hanno convenuto di procedere comunque alla realizzazione del seguente intervento di cui all’Art. 2 del Protocollo d’Intesa, SENZA tuttavia realizzare il sottopasso previsto come opera di viabilità sostitutiva del passaggio a livello soppresso, che NON risulta più necessario nell’immediato, poiché la via risulta già accessibile comunque da percorsi alternativi:</w:t>
      </w:r>
    </w:p>
    <w:p>
      <w:pPr>
        <w:pStyle w:val="Normal"/>
        <w:numPr>
          <w:ilvl w:val="0"/>
          <w:numId w:val="11"/>
        </w:numPr>
        <w:jc w:val="both"/>
        <w:rPr/>
      </w:pPr>
      <w:r>
        <w:rPr/>
        <w:t>punto 1.4. soppressione dei PL n. 13 (progr. Km 8 + 296 - via Antica) della linea ferroviaria Reggio Emilia – Ciano d’Enza;</w:t>
      </w:r>
    </w:p>
    <w:p>
      <w:pPr>
        <w:pStyle w:val="Normal"/>
        <w:ind w:left="720" w:hanging="0"/>
        <w:jc w:val="both"/>
        <w:rPr/>
      </w:pPr>
      <w:r>
        <w:rPr/>
      </w:r>
    </w:p>
    <w:p>
      <w:pPr>
        <w:pStyle w:val="Normal"/>
        <w:jc w:val="both"/>
        <w:rPr/>
      </w:pPr>
      <w:r>
        <w:rPr/>
        <w:t xml:space="preserve">DATO INFINE ATTO che </w:t>
      </w:r>
      <w:r>
        <w:rPr/>
        <w:t>le</w:t>
      </w:r>
      <w:r>
        <w:rPr/>
        <w:t xml:space="preserve"> Parti hanno riconosciuto la comune volontà di procedere alla soppressione definitiva dei seguenti PL</w:t>
      </w:r>
    </w:p>
    <w:p>
      <w:pPr>
        <w:pStyle w:val="Normal"/>
        <w:numPr>
          <w:ilvl w:val="0"/>
          <w:numId w:val="12"/>
        </w:numPr>
        <w:jc w:val="both"/>
        <w:rPr/>
      </w:pPr>
      <w:r>
        <w:rPr/>
        <w:t>punto 1.1.bis. soppressione dei PL n. 3a (progr. Km 1+998 - viale Trento Trieste, PL “interno”, limitrofo stazione di Reggio Santo Stefano) della linea ferroviaria Reggio Emilia – Ciano d’Enza; mediante apertura di nuovo accesso carrabile su Via Galliano dal piazzale FER a nord della ferrovia e valorizzazione dell’area FER di Santo Stefano;</w:t>
      </w:r>
    </w:p>
    <w:p>
      <w:pPr>
        <w:pStyle w:val="Normal"/>
        <w:numPr>
          <w:ilvl w:val="0"/>
          <w:numId w:val="12"/>
        </w:numPr>
        <w:jc w:val="both"/>
        <w:rPr/>
      </w:pPr>
      <w:r>
        <w:rPr/>
        <w:t xml:space="preserve">punto 1.2.bis soppressione dei PL </w:t>
      </w:r>
      <w:r>
        <w:rPr>
          <w:rFonts w:cs="Arial"/>
        </w:rPr>
        <w:t>n. 1 (progr. Km 1+259</w:t>
      </w:r>
      <w:r>
        <w:rPr/>
        <w:t xml:space="preserve"> - via Fanti) della linea ferroviaria Reggio Emilia – Ciano d’Enza; mediante istituzione di servitù di passaggio a favore di un nuovo complesso edilizio e delle abitazioni preesistenti per sbocco su Via Villani,  gravante su un lotto dell’area d’intervento oggetto di ristrutturazione con demolizione e ricostruzione del nuovo complesso residenziale di proprietà privata; </w:t>
      </w:r>
    </w:p>
    <w:p>
      <w:pPr>
        <w:pStyle w:val="Normal"/>
        <w:jc w:val="both"/>
        <w:rPr/>
      </w:pPr>
      <w:r>
        <w:rPr/>
      </w:r>
    </w:p>
    <w:p>
      <w:pPr>
        <w:pStyle w:val="Normal"/>
        <w:jc w:val="both"/>
        <w:rPr/>
      </w:pPr>
      <w:r>
        <w:rPr/>
        <w:t>VISTO che quanto sopra esposto determina di provvedere ad una modifica del Protocollo d’Intesa a suo tempo sottoscritto</w:t>
      </w:r>
    </w:p>
    <w:p>
      <w:pPr>
        <w:pStyle w:val="Normal"/>
        <w:jc w:val="center"/>
        <w:rPr/>
      </w:pPr>
      <w:r>
        <w:rPr/>
        <w:t>tutto ciò premesso, si stipula e si conviene quanto segue:</w:t>
      </w:r>
    </w:p>
    <w:p>
      <w:pPr>
        <w:pStyle w:val="Normal"/>
        <w:jc w:val="both"/>
        <w:rPr/>
      </w:pPr>
      <w:r>
        <w:rPr/>
      </w:r>
    </w:p>
    <w:p>
      <w:pPr>
        <w:pStyle w:val="Normal"/>
        <w:jc w:val="both"/>
        <w:rPr/>
      </w:pPr>
      <w:r>
        <w:rPr/>
      </w:r>
    </w:p>
    <w:p>
      <w:pPr>
        <w:pStyle w:val="Normal"/>
        <w:jc w:val="both"/>
        <w:rPr/>
      </w:pPr>
      <w:r>
        <w:rPr>
          <w:b/>
        </w:rPr>
        <w:t>Art. 1 – CONFERMA DELLE PREMESSE</w:t>
      </w:r>
    </w:p>
    <w:p>
      <w:pPr>
        <w:pStyle w:val="Normal"/>
        <w:jc w:val="both"/>
        <w:rPr/>
      </w:pPr>
      <w:r>
        <w:rPr/>
        <w:t>Le premesse costituiscono parte integrante e sostanziale del presente atto.</w:t>
      </w:r>
    </w:p>
    <w:p>
      <w:pPr>
        <w:pStyle w:val="Normal"/>
        <w:jc w:val="both"/>
        <w:rPr/>
      </w:pPr>
      <w:r>
        <w:rPr/>
      </w:r>
    </w:p>
    <w:p>
      <w:pPr>
        <w:pStyle w:val="Normal"/>
        <w:jc w:val="both"/>
        <w:rPr/>
      </w:pPr>
      <w:r>
        <w:rPr>
          <w:b/>
        </w:rPr>
        <w:t>Art. 2 – OGGETTO E FINALITÀ</w:t>
      </w:r>
    </w:p>
    <w:p>
      <w:pPr>
        <w:pStyle w:val="Normal"/>
        <w:jc w:val="both"/>
        <w:rPr/>
      </w:pPr>
      <w:r>
        <w:rPr/>
        <w:t xml:space="preserve">Il presente atto MODIFICA il Protocollo d’Intesa fra il Comune di Reggio Emilia, Ferrovie Emilia Romagna S.r.l. e Regione Emilia Romagna, sottoscritto mediante scrittura privata con firma digitale apposta rispettivamente in data 19/02/2021 dal Comune di Reggio Emilia e in data 22/02/2021 da FER e Regione Emilia Romagna, in atti rispettivamente del Comune di Reggio Emilia PG n. 51433 del 25/02/2021, di FER </w:t>
      </w:r>
      <w:r>
        <w:rPr>
          <w:highlight w:val="yellow"/>
        </w:rPr>
        <w:t>_____________</w:t>
      </w:r>
      <w:r>
        <w:rPr/>
        <w:t xml:space="preserve">, della Regione Emilia Romagna </w:t>
      </w:r>
      <w:r>
        <w:rPr>
          <w:highlight w:val="yellow"/>
        </w:rPr>
        <w:t>_____________</w:t>
      </w:r>
      <w:r>
        <w:rPr/>
        <w:t xml:space="preserve">, andando a integrare e/o variare gli accordi intercorsi fra le parti </w:t>
      </w:r>
      <w:r>
        <w:rPr>
          <w:u w:val="single"/>
        </w:rPr>
        <w:t>limitatamente ai seguenti punti</w:t>
      </w:r>
      <w:r>
        <w:rPr/>
        <w:t>:</w:t>
      </w:r>
    </w:p>
    <w:p>
      <w:pPr>
        <w:pStyle w:val="Normal"/>
        <w:numPr>
          <w:ilvl w:val="0"/>
          <w:numId w:val="6"/>
        </w:numPr>
        <w:tabs>
          <w:tab w:val="clear" w:pos="720"/>
          <w:tab w:val="left" w:pos="345" w:leader="none"/>
        </w:tabs>
        <w:ind w:left="340" w:hanging="340"/>
        <w:jc w:val="both"/>
        <w:rPr/>
      </w:pPr>
      <w:r>
        <w:rPr>
          <w:b/>
          <w:bCs/>
        </w:rPr>
        <w:t>la REALIZZAZIONE DI INTERVENTI SUI PASSAGGI A LIVELLO DELLE LINEE FERROVIARIE REGGIO EMILIA – GUASTALLA, REGGIO EMILIA - SASSUOLO E REGGIO EMILIA – CIANO D’ENZA IN COMUNE DI REGGIO EMILIA, di seguito elencati, al fine di incrementare le condizioni di sicurezza stradale e ferroviaria, nonché favorire la velocizzazione e migliorare la regolarità dell’esercizio ferroviario</w:t>
      </w:r>
      <w:r>
        <w:rPr/>
        <w:t>:</w:t>
      </w:r>
    </w:p>
    <w:p>
      <w:pPr>
        <w:pStyle w:val="Normal"/>
        <w:numPr>
          <w:ilvl w:val="1"/>
          <w:numId w:val="6"/>
        </w:numPr>
        <w:tabs>
          <w:tab w:val="clear" w:pos="720"/>
          <w:tab w:val="left" w:pos="794" w:leader="none"/>
        </w:tabs>
        <w:spacing w:before="240" w:after="0"/>
        <w:ind w:left="794" w:hanging="454"/>
        <w:jc w:val="both"/>
        <w:rPr/>
      </w:pPr>
      <w:r>
        <w:rPr>
          <w:rFonts w:cs="Arial"/>
          <w:b/>
          <w:bCs/>
        </w:rPr>
        <w:t>chiusura del passaggio a livello su VIA DELLA COSTITUZIONE</w:t>
      </w:r>
      <w:r>
        <w:rPr>
          <w:rFonts w:cs="Arial"/>
        </w:rPr>
        <w:t xml:space="preserve"> (n. 5a, progr. Km 2+384 della linea ferroviaria Reggio Emilia – Ciano d’Enza): </w:t>
      </w:r>
    </w:p>
    <w:p>
      <w:pPr>
        <w:pStyle w:val="Normal"/>
        <w:spacing w:before="240" w:after="0"/>
        <w:ind w:left="794" w:hanging="0"/>
        <w:jc w:val="both"/>
        <w:rPr/>
      </w:pPr>
      <w:r>
        <w:rPr>
          <w:rFonts w:cs="Arial"/>
          <w:u w:val="single"/>
        </w:rPr>
        <w:t>L’intervento è al momento RINVIATO A DATA DA DESTINARSI</w:t>
      </w:r>
      <w:r>
        <w:rPr>
          <w:rFonts w:cs="Arial"/>
        </w:rPr>
        <w:t>; decade conseguentemente ogni impegno delle parti in merito alla sua attuazione</w:t>
      </w:r>
      <w:r>
        <w:rPr/>
        <w:t>;</w:t>
      </w:r>
    </w:p>
    <w:p>
      <w:pPr>
        <w:pStyle w:val="Normal"/>
        <w:numPr>
          <w:ilvl w:val="1"/>
          <w:numId w:val="6"/>
        </w:numPr>
        <w:tabs>
          <w:tab w:val="clear" w:pos="720"/>
          <w:tab w:val="left" w:pos="794" w:leader="none"/>
        </w:tabs>
        <w:spacing w:before="240" w:after="0"/>
        <w:ind w:left="794" w:hanging="454"/>
        <w:jc w:val="both"/>
        <w:rPr/>
      </w:pPr>
      <w:r>
        <w:rPr>
          <w:rFonts w:cs="Arial"/>
          <w:b/>
          <w:bCs/>
        </w:rPr>
        <w:t>chiusura del passaggio a livello su VIA ORSINI</w:t>
      </w:r>
      <w:r>
        <w:rPr>
          <w:rFonts w:cs="Arial"/>
        </w:rPr>
        <w:t xml:space="preserve"> (n. 12, progr. Km 7 + 918 della linea ferroviaria Reggio Emilia – Ciano d’Enza):</w:t>
      </w:r>
    </w:p>
    <w:p>
      <w:pPr>
        <w:pStyle w:val="Normal"/>
        <w:spacing w:before="240" w:after="0"/>
        <w:ind w:left="794" w:hanging="0"/>
        <w:jc w:val="both"/>
        <w:rPr/>
      </w:pPr>
      <w:r>
        <w:rPr>
          <w:rFonts w:cs="Arial"/>
          <w:u w:val="single"/>
        </w:rPr>
        <w:t>L’intervento che era comunque temporalmente subordinato nel Protocollo d’intesa alla realizzazione da parte di ANAS del prolungamento della tangenziale nord programmato per il 2020-2024 , è al momento RINVIATO A DATA DA DESTINARSI</w:t>
      </w:r>
      <w:r>
        <w:rPr>
          <w:rFonts w:cs="Arial"/>
        </w:rPr>
        <w:t>; decade conseguentemente ogni impegno delle parti in merito alla sua attuazione;</w:t>
      </w:r>
    </w:p>
    <w:p>
      <w:pPr>
        <w:pStyle w:val="Normal"/>
        <w:numPr>
          <w:ilvl w:val="1"/>
          <w:numId w:val="6"/>
        </w:numPr>
        <w:tabs>
          <w:tab w:val="clear" w:pos="720"/>
          <w:tab w:val="left" w:pos="794" w:leader="none"/>
        </w:tabs>
        <w:spacing w:before="240" w:after="0"/>
        <w:ind w:left="794" w:hanging="454"/>
        <w:jc w:val="both"/>
        <w:rPr/>
      </w:pPr>
      <w:r>
        <w:rPr>
          <w:rFonts w:cs="Arial"/>
          <w:b/>
          <w:bCs/>
        </w:rPr>
        <w:t xml:space="preserve">chiusura del passaggio a livello su VIA LODOLA </w:t>
      </w:r>
      <w:r>
        <w:rPr>
          <w:rFonts w:cs="Arial"/>
        </w:rPr>
        <w:t>(n. 18, progr. Km 15+521 della linea ferroviaria Reggio Emilia – Sassuolo):</w:t>
      </w:r>
    </w:p>
    <w:p>
      <w:pPr>
        <w:pStyle w:val="Normal"/>
        <w:spacing w:before="240" w:after="0"/>
        <w:ind w:left="794" w:hanging="0"/>
        <w:jc w:val="both"/>
        <w:rPr/>
      </w:pPr>
      <w:r>
        <w:rPr>
          <w:rFonts w:cs="Arial"/>
          <w:u w:val="single"/>
        </w:rPr>
        <w:t>L’intervento è al momento RINVIATO A DATA DA DESTINARSI</w:t>
      </w:r>
      <w:r>
        <w:rPr>
          <w:rFonts w:cs="Arial"/>
        </w:rPr>
        <w:t>; decade conseguentemente ogni impegno delle parti in merito alla sua attuazione;</w:t>
      </w:r>
    </w:p>
    <w:p>
      <w:pPr>
        <w:pStyle w:val="Normal"/>
        <w:numPr>
          <w:ilvl w:val="1"/>
          <w:numId w:val="6"/>
        </w:numPr>
        <w:tabs>
          <w:tab w:val="clear" w:pos="720"/>
          <w:tab w:val="left" w:pos="794" w:leader="none"/>
        </w:tabs>
        <w:spacing w:before="240" w:after="0"/>
        <w:ind w:left="794" w:hanging="454"/>
        <w:jc w:val="both"/>
        <w:rPr/>
      </w:pPr>
      <w:r>
        <w:rPr>
          <w:rFonts w:cs="Arial"/>
          <w:b/>
          <w:bCs/>
        </w:rPr>
        <w:t>chiusura del passaggio a livello su VIA ANTICA</w:t>
      </w:r>
      <w:r>
        <w:rPr>
          <w:rFonts w:cs="Arial"/>
        </w:rPr>
        <w:t xml:space="preserve"> (n. 13, progr. Km 8 + 296 della linea ferroviaria Reggio Emilia – Ciano d’Enza):</w:t>
      </w:r>
    </w:p>
    <w:p>
      <w:pPr>
        <w:pStyle w:val="Normal"/>
        <w:tabs>
          <w:tab w:val="clear" w:pos="720"/>
          <w:tab w:val="left" w:pos="794" w:leader="none"/>
        </w:tabs>
        <w:spacing w:before="240" w:after="0"/>
        <w:ind w:left="794" w:hanging="0"/>
        <w:jc w:val="both"/>
        <w:rPr/>
      </w:pPr>
      <w:r>
        <w:rPr>
          <w:rFonts w:cs="Arial"/>
          <w:u w:val="single"/>
        </w:rPr>
        <w:t>L’intervento che era comunque subordinato nel Protocollo d’intesa al reperimento e messa a disposizione delle risorse finanziare necessarie per la sua realizzazione, viene CONFERMATO, SENZA prevedere la realizzazione del sottopasso in sostituzione del passaggio a livello soppresso</w:t>
      </w:r>
      <w:r>
        <w:rPr>
          <w:rFonts w:cs="Arial"/>
        </w:rPr>
        <w:t>;</w:t>
      </w:r>
    </w:p>
    <w:p>
      <w:pPr>
        <w:pStyle w:val="Normal"/>
        <w:numPr>
          <w:ilvl w:val="1"/>
          <w:numId w:val="6"/>
        </w:numPr>
        <w:tabs>
          <w:tab w:val="clear" w:pos="720"/>
          <w:tab w:val="left" w:pos="794" w:leader="none"/>
        </w:tabs>
        <w:spacing w:before="240" w:after="0"/>
        <w:ind w:left="794" w:hanging="454"/>
        <w:jc w:val="both"/>
        <w:rPr/>
      </w:pPr>
      <w:r>
        <w:rPr>
          <w:rFonts w:cs="Arial"/>
          <w:b/>
          <w:bCs/>
        </w:rPr>
        <w:t>chiusura del passaggio a livello su VIA ANNA FRANK</w:t>
      </w:r>
      <w:r>
        <w:rPr>
          <w:rFonts w:cs="Arial"/>
        </w:rPr>
        <w:t xml:space="preserve"> (n. 19, progr. Km 17+740 della linea ferroviaria Reggio Emilia – Sassuolo):</w:t>
      </w:r>
    </w:p>
    <w:p>
      <w:pPr>
        <w:pStyle w:val="Normal"/>
        <w:spacing w:before="240" w:after="0"/>
        <w:ind w:left="794" w:hanging="0"/>
        <w:jc w:val="both"/>
        <w:rPr/>
      </w:pPr>
      <w:r>
        <w:rPr>
          <w:rFonts w:cs="Arial"/>
          <w:u w:val="single"/>
        </w:rPr>
        <w:t>L’intervento che era comunque subordinato nel Protocollo d’intesa al reperimento e messa a disposizione delle risorse finanziare necessarie per la sua realizzazione, è al momento RINVIATO A DATA DA DESTINARSI</w:t>
      </w:r>
      <w:r>
        <w:rPr>
          <w:rFonts w:cs="Arial"/>
        </w:rPr>
        <w:t>; decade conseguentemente ogni impegno delle parti in merito alla sua attuazione;</w:t>
      </w:r>
    </w:p>
    <w:p>
      <w:pPr>
        <w:pStyle w:val="Normal"/>
        <w:numPr>
          <w:ilvl w:val="1"/>
          <w:numId w:val="6"/>
        </w:numPr>
        <w:tabs>
          <w:tab w:val="clear" w:pos="720"/>
          <w:tab w:val="left" w:pos="794" w:leader="none"/>
        </w:tabs>
        <w:spacing w:before="240" w:after="0"/>
        <w:ind w:left="794" w:hanging="454"/>
        <w:jc w:val="both"/>
        <w:rPr/>
      </w:pPr>
      <w:r>
        <w:rPr>
          <w:rFonts w:cs="Arial"/>
          <w:b/>
          <w:bCs/>
        </w:rPr>
        <w:t>apertura del passaggio a livello su VIALE RAMAZZINI</w:t>
      </w:r>
      <w:r>
        <w:rPr>
          <w:rFonts w:cs="Arial"/>
        </w:rPr>
        <w:t xml:space="preserve"> (n. 3, progr. Km 23+075 della linea ferroviaria Reggio Emilia – Guastalla), motivata da esigenze urbanistiche del Comune di Reggio Emilia per meglio servire il quartiere di Santa Croce posto ad est della linea ferroviaria, oggetto di un importante intervento di riqualificazione in corso.</w:t>
      </w:r>
    </w:p>
    <w:p>
      <w:pPr>
        <w:pStyle w:val="Normal"/>
        <w:tabs>
          <w:tab w:val="clear" w:pos="720"/>
          <w:tab w:val="left" w:pos="794" w:leader="none"/>
        </w:tabs>
        <w:spacing w:before="240" w:after="0"/>
        <w:ind w:left="794" w:hanging="0"/>
        <w:jc w:val="both"/>
        <w:rPr/>
      </w:pPr>
      <w:r>
        <w:rPr>
          <w:rFonts w:cs="Arial"/>
          <w:u w:val="single"/>
        </w:rPr>
        <w:t>l’intervento viene CONFERMATO</w:t>
      </w:r>
      <w:r>
        <w:rPr>
          <w:rFonts w:cs="Arial"/>
        </w:rPr>
        <w:t xml:space="preserve">; </w:t>
      </w:r>
    </w:p>
    <w:p>
      <w:pPr>
        <w:pStyle w:val="Normal"/>
        <w:tabs>
          <w:tab w:val="clear" w:pos="720"/>
          <w:tab w:val="left" w:pos="794" w:leader="none"/>
        </w:tabs>
        <w:spacing w:before="240" w:after="0"/>
        <w:ind w:left="794" w:hanging="0"/>
        <w:jc w:val="both"/>
        <w:rPr/>
      </w:pPr>
      <w:r>
        <w:rPr>
          <w:rFonts w:cs="Arial"/>
        </w:rPr>
        <w:t>l’apertura del passaggio a livello potrà avvenire solo in seguito all’inizio dei lavori per la chiusura dei passaggi a livello n° 13 (Via Antica) e n° 3a (Via Trento e Trieste) di cui al precedente punto 1.4 e al successivo punto 1.1.bis, previo emanazione da parte del Comune di Reggio Emilia della ordinanza di chiusura definitiva dei PL con effetto immediato, ed esito positivo delle verifiche funzionali ed AMIS sul nuovo PL e rilascio formale della autorizzazione all’attraversamento da parte della Regione ER</w:t>
      </w:r>
    </w:p>
    <w:p>
      <w:pPr>
        <w:pStyle w:val="Normal"/>
        <w:spacing w:before="240" w:after="0"/>
        <w:jc w:val="both"/>
        <w:rPr>
          <w:rFonts w:cs="Arial"/>
        </w:rPr>
      </w:pPr>
      <w:r>
        <w:rPr>
          <w:rFonts w:cs="Arial"/>
        </w:rPr>
      </w:r>
    </w:p>
    <w:p>
      <w:pPr>
        <w:pStyle w:val="Normal"/>
        <w:spacing w:before="240" w:after="0"/>
        <w:jc w:val="both"/>
        <w:rPr/>
      </w:pPr>
      <w:r>
        <w:rPr>
          <w:rFonts w:cs="Arial"/>
        </w:rPr>
        <w:t>Il presente atto inoltre INTEGRA il Protocollo d'intesa sottoscritto a febbraio 2021 fra il Comune di Reggio Emilia, Ferrovie Emilia Romagna S.r.l. e Regione Emilia Romagna, individuando i seguenti PL da sopprimere in aggiunta a quelli elencati al precedente punto 1.:</w:t>
      </w:r>
    </w:p>
    <w:p>
      <w:pPr>
        <w:pStyle w:val="Normal"/>
        <w:numPr>
          <w:ilvl w:val="1"/>
          <w:numId w:val="10"/>
        </w:numPr>
        <w:tabs>
          <w:tab w:val="clear" w:pos="720"/>
          <w:tab w:val="left" w:pos="794" w:leader="none"/>
        </w:tabs>
        <w:spacing w:before="240" w:after="0"/>
        <w:ind w:left="794" w:hanging="737"/>
        <w:jc w:val="both"/>
        <w:rPr/>
      </w:pPr>
      <w:r>
        <w:rPr>
          <w:b/>
          <w:bCs/>
        </w:rPr>
        <w:t>chiusura del passaggio a livello su VIALE TRENTO TRIESTE, PL “interno”, limitrofo stazione di Reggio Santo Stefano</w:t>
      </w:r>
      <w:r>
        <w:rPr/>
        <w:t xml:space="preserve"> (n. 3a, progr. Km 1+998 della linea ferroviaria Reggio Emilia – Ciano d’Enza): </w:t>
      </w:r>
    </w:p>
    <w:p>
      <w:pPr>
        <w:pStyle w:val="Normal"/>
        <w:spacing w:before="240" w:after="0"/>
        <w:ind w:left="794" w:hanging="0"/>
        <w:jc w:val="both"/>
        <w:rPr/>
      </w:pPr>
      <w:r>
        <w:rPr>
          <w:rFonts w:cs="Arial"/>
        </w:rPr>
        <w:t>l’intervento consiste nella apertura di nuovo accesso carrabile su Via Galliano dal piazzale FER a nord della ferrovia e valorizzazione dell’area FER di Santo Stefano, soluzione progettuale da sviluppare a cura e spese della stessa FER;</w:t>
      </w:r>
    </w:p>
    <w:p>
      <w:pPr>
        <w:pStyle w:val="Normal"/>
        <w:numPr>
          <w:ilvl w:val="1"/>
          <w:numId w:val="10"/>
        </w:numPr>
        <w:tabs>
          <w:tab w:val="clear" w:pos="720"/>
          <w:tab w:val="left" w:pos="794" w:leader="none"/>
        </w:tabs>
        <w:spacing w:before="240" w:after="0"/>
        <w:ind w:left="794" w:hanging="737"/>
        <w:jc w:val="both"/>
        <w:rPr/>
      </w:pPr>
      <w:r>
        <w:rPr>
          <w:rFonts w:cs="Arial"/>
          <w:b/>
          <w:bCs/>
        </w:rPr>
        <w:t>chiusura del passaggio a livello su VIA FANTI</w:t>
      </w:r>
      <w:r>
        <w:rPr>
          <w:rFonts w:cs="Arial"/>
        </w:rPr>
        <w:t xml:space="preserve"> (n. 1, progr. Km 1+259 della linea ferroviaria Reggio Emilia – Ciano d’Enza):</w:t>
      </w:r>
    </w:p>
    <w:p>
      <w:pPr>
        <w:pStyle w:val="Normal"/>
        <w:spacing w:before="240" w:after="0"/>
        <w:ind w:left="794" w:hanging="0"/>
        <w:jc w:val="both"/>
        <w:rPr>
          <w:rFonts w:cs="Arial"/>
        </w:rPr>
      </w:pPr>
      <w:r>
        <w:rPr>
          <w:rFonts w:cs="Arial"/>
        </w:rPr>
        <w:t>l’intervento consiste nella eliminazione in via definitiva del PL su Via Fanti ed istituzione di servitù di passaggio a favore di un nuovo complesso edilizio e delle abitazioni preesistenti per sbocco su Via Villani gravante su un lotto dell’area d’intervento oggetto di ristrutturazione con demolizione e ricostruzione del nuovo complesso residenziale di proprietà privata; soluzione progettuale da sviluppare a cura del soggetto privato titolare della pratica edilizia dell’intervento di ristrutturazione con demolizione parziale, agli atti del Comune di Reggio Emilia ai PG n. 2022/126775 e 2022/126798 del 20/05/2022; per cui il comune si impegna a scontare gli oneri di urbanizzazione per un importo massimo pari al valore delle opere stradali funzionali alla chiusura del PL e all'apertura della nuova strada; l</w:t>
      </w:r>
      <w:r>
        <w:rPr>
          <w:rFonts w:eastAsia="Calibri" w:cs="Arial"/>
          <w:color w:val="000000"/>
        </w:rPr>
        <w:t xml:space="preserve">’intervento è inoltre </w:t>
      </w:r>
      <w:r>
        <w:rPr>
          <w:rFonts w:cs="Arial"/>
        </w:rPr>
        <w:t>vincolato al rilascio da parte di FER dell’autorizzazione alla costruzione in deroga ai limiti di distanza dalla linea ferroviaria, giusta istanza agli atti di FER prot. n. ____ del __________ (l’intervento ricade anche all’interno della fascia di rispetto ferroviario di RFI che ha già rilasciato l’autorizzazione);</w:t>
      </w:r>
    </w:p>
    <w:p>
      <w:pPr>
        <w:pStyle w:val="Normal"/>
        <w:spacing w:before="240" w:after="0"/>
        <w:ind w:left="794" w:hanging="0"/>
        <w:jc w:val="both"/>
        <w:rPr/>
      </w:pPr>
      <w:r>
        <w:rPr/>
      </w:r>
    </w:p>
    <w:p>
      <w:pPr>
        <w:pStyle w:val="Normal"/>
        <w:keepNext w:val="true"/>
        <w:jc w:val="both"/>
        <w:rPr/>
      </w:pPr>
      <w:r>
        <w:rPr>
          <w:b/>
        </w:rPr>
        <w:t>Art. 3 – IMPEGNI TRA LE PARTI IN MERITO ALLA REALIZZAZIONE DEGLI INTERVENTI</w:t>
      </w:r>
    </w:p>
    <w:p>
      <w:pPr>
        <w:pStyle w:val="Normal"/>
        <w:keepNext w:val="true"/>
        <w:numPr>
          <w:ilvl w:val="0"/>
          <w:numId w:val="7"/>
        </w:numPr>
        <w:tabs>
          <w:tab w:val="clear" w:pos="720"/>
          <w:tab w:val="left" w:pos="345" w:leader="none"/>
        </w:tabs>
        <w:spacing w:before="240" w:after="120"/>
        <w:ind w:left="340" w:hanging="340"/>
        <w:jc w:val="both"/>
        <w:rPr/>
      </w:pPr>
      <w:r>
        <w:rPr>
          <w:rFonts w:cs="Arial"/>
        </w:rPr>
        <w:t>Relativamente agli</w:t>
      </w:r>
      <w:r>
        <w:rPr>
          <w:b/>
          <w:bCs/>
        </w:rPr>
        <w:t xml:space="preserve"> </w:t>
      </w:r>
      <w:r>
        <w:rPr>
          <w:b/>
          <w:bCs/>
          <w:u w:val="single"/>
        </w:rPr>
        <w:t>interventi individuati al precedente punto 1 dell’art. 2 rispettivamente punti:</w:t>
      </w:r>
    </w:p>
    <w:p>
      <w:pPr>
        <w:pStyle w:val="ListParagraph"/>
        <w:spacing w:before="0" w:after="0"/>
        <w:contextualSpacing/>
        <w:jc w:val="both"/>
        <w:rPr/>
      </w:pPr>
      <w:r>
        <w:rPr>
          <w:b/>
          <w:bCs/>
        </w:rPr>
        <w:t>1.1.</w:t>
        <w:tab/>
      </w:r>
      <w:r>
        <w:rPr>
          <w:b/>
          <w:bCs/>
          <w:u w:val="single"/>
        </w:rPr>
        <w:t>PL Via Costituzione</w:t>
      </w:r>
      <w:r>
        <w:rPr>
          <w:b/>
          <w:bCs/>
        </w:rPr>
        <w:t>,</w:t>
      </w:r>
    </w:p>
    <w:p>
      <w:pPr>
        <w:pStyle w:val="ListParagraph"/>
        <w:spacing w:before="0" w:after="0"/>
        <w:contextualSpacing/>
        <w:jc w:val="both"/>
        <w:rPr/>
      </w:pPr>
      <w:r>
        <w:rPr>
          <w:b/>
          <w:bCs/>
        </w:rPr>
        <w:t>1.2.</w:t>
        <w:tab/>
      </w:r>
      <w:r>
        <w:rPr>
          <w:b/>
          <w:bCs/>
          <w:u w:val="single"/>
        </w:rPr>
        <w:t>PL Via Orsini</w:t>
      </w:r>
    </w:p>
    <w:p>
      <w:pPr>
        <w:pStyle w:val="ListParagraph"/>
        <w:spacing w:before="0" w:after="0"/>
        <w:contextualSpacing/>
        <w:jc w:val="both"/>
        <w:rPr/>
      </w:pPr>
      <w:r>
        <w:rPr>
          <w:b/>
          <w:bCs/>
        </w:rPr>
        <w:t>1.3.</w:t>
        <w:tab/>
      </w:r>
      <w:r>
        <w:rPr>
          <w:b/>
          <w:bCs/>
          <w:u w:val="single"/>
        </w:rPr>
        <w:t>PL Via Lodola</w:t>
      </w:r>
    </w:p>
    <w:p>
      <w:pPr>
        <w:pStyle w:val="ListParagraph"/>
        <w:spacing w:before="0" w:after="0"/>
        <w:contextualSpacing/>
        <w:jc w:val="both"/>
        <w:rPr/>
      </w:pPr>
      <w:r>
        <w:rPr>
          <w:b/>
          <w:bCs/>
        </w:rPr>
        <w:t>1.5.</w:t>
        <w:tab/>
      </w:r>
      <w:r>
        <w:rPr>
          <w:b/>
          <w:bCs/>
          <w:u w:val="single"/>
        </w:rPr>
        <w:t>PL Via Anna Frank</w:t>
      </w:r>
    </w:p>
    <w:p>
      <w:pPr>
        <w:pStyle w:val="Normal"/>
        <w:spacing w:before="240" w:after="0"/>
        <w:ind w:left="794" w:hanging="0"/>
        <w:jc w:val="both"/>
        <w:rPr/>
      </w:pPr>
      <w:r>
        <w:rPr>
          <w:rFonts w:cs="Arial"/>
          <w:u w:val="single"/>
        </w:rPr>
        <w:t>Gli interventi sono al momento RINVIAT</w:t>
      </w:r>
      <w:r>
        <w:rPr>
          <w:rFonts w:cs="Arial"/>
          <w:u w:val="single"/>
        </w:rPr>
        <w:t>I</w:t>
      </w:r>
      <w:r>
        <w:rPr>
          <w:rFonts w:cs="Arial"/>
          <w:u w:val="single"/>
        </w:rPr>
        <w:t xml:space="preserve"> A DATA DA DESTINARSI</w:t>
      </w:r>
      <w:r>
        <w:rPr>
          <w:rFonts w:cs="Arial"/>
        </w:rPr>
        <w:t>; decade conseguentemente ogni impegno delle parti in merito alla loro attuazione;</w:t>
      </w:r>
    </w:p>
    <w:p>
      <w:pPr>
        <w:pStyle w:val="Normal"/>
        <w:keepNext w:val="true"/>
        <w:numPr>
          <w:ilvl w:val="0"/>
          <w:numId w:val="8"/>
        </w:numPr>
        <w:tabs>
          <w:tab w:val="clear" w:pos="720"/>
          <w:tab w:val="left" w:pos="345" w:leader="none"/>
        </w:tabs>
        <w:spacing w:before="240" w:after="120"/>
        <w:ind w:left="340" w:hanging="340"/>
        <w:jc w:val="both"/>
        <w:rPr/>
      </w:pPr>
      <w:r>
        <w:rPr>
          <w:rFonts w:cs="Arial"/>
        </w:rPr>
        <w:t>Relativamente agli</w:t>
      </w:r>
      <w:r>
        <w:rPr>
          <w:b/>
          <w:bCs/>
        </w:rPr>
        <w:t xml:space="preserve"> </w:t>
      </w:r>
      <w:r>
        <w:rPr>
          <w:b/>
          <w:bCs/>
          <w:u w:val="single"/>
        </w:rPr>
        <w:t>interventi individuati al precedente punto 1 dell’art. 2 rispettivamente punto:</w:t>
      </w:r>
    </w:p>
    <w:p>
      <w:pPr>
        <w:pStyle w:val="ListParagraph"/>
        <w:spacing w:before="240" w:after="0"/>
        <w:ind w:left="737" w:hanging="0"/>
        <w:contextualSpacing/>
        <w:jc w:val="both"/>
        <w:rPr/>
      </w:pPr>
      <w:r>
        <w:rPr>
          <w:b/>
          <w:bCs/>
        </w:rPr>
        <w:t>1.4.</w:t>
        <w:tab/>
      </w:r>
      <w:r>
        <w:rPr>
          <w:b/>
          <w:bCs/>
          <w:u w:val="single"/>
        </w:rPr>
        <w:t>PL Via Antica</w:t>
      </w:r>
    </w:p>
    <w:p>
      <w:pPr>
        <w:pStyle w:val="ListParagraph"/>
        <w:spacing w:before="240" w:after="0"/>
        <w:contextualSpacing/>
        <w:jc w:val="both"/>
        <w:rPr>
          <w:b/>
          <w:b/>
          <w:bCs/>
          <w:u w:val="single"/>
        </w:rPr>
      </w:pPr>
      <w:r>
        <w:rPr>
          <w:b/>
          <w:bCs/>
          <w:u w:val="single"/>
        </w:rPr>
      </w:r>
    </w:p>
    <w:p>
      <w:pPr>
        <w:pStyle w:val="Normal"/>
        <w:spacing w:before="0" w:after="160"/>
        <w:ind w:left="737" w:hanging="0"/>
        <w:contextualSpacing/>
        <w:jc w:val="both"/>
        <w:rPr/>
      </w:pPr>
      <w:r>
        <w:rPr/>
        <w:t>ad integrazione e modifica di quanto previsto al secondo capoverso dell’art. 3 del Protocollo d’Intesa, ovvero:</w:t>
      </w:r>
    </w:p>
    <w:p>
      <w:pPr>
        <w:pStyle w:val="Normal"/>
        <w:numPr>
          <w:ilvl w:val="0"/>
          <w:numId w:val="13"/>
        </w:numPr>
        <w:spacing w:before="120" w:after="160"/>
        <w:jc w:val="both"/>
        <w:rPr/>
      </w:pPr>
      <w:r>
        <w:rPr/>
        <w:t xml:space="preserve">nell’Allegato n° 1 al Protocollo d’intesa era ipotizzata la realizzazione di un sottopassaggio in via Antica, da realizzare sulla strada attraversante la linea ferroviaria in corrispondenza del PL da sopprimere al fine di mantenere l’attraversamento ferroviario </w:t>
      </w:r>
      <w:bookmarkStart w:id="1" w:name="__DdeLink__817_2055642735"/>
      <w:r>
        <w:rPr/>
        <w:t>sulla viabilità stradale conseguentemente alla chiusura dei PL in argomento</w:t>
      </w:r>
      <w:bookmarkEnd w:id="1"/>
      <w:r>
        <w:rPr/>
        <w:t>; nell’Atto le Parti si impegnavano reciprocamente nell’adoperarsi per reperire le risorse finanziare necessarie per la realizzazione dell’intervento, previa redazione da parte del Comune di un documento di fattibilità delle alternative progettuali, in cui si sarebbero individuate puntualmente le opere da realizzare stimandone i costi.</w:t>
      </w:r>
    </w:p>
    <w:p>
      <w:pPr>
        <w:pStyle w:val="Normal"/>
        <w:numPr>
          <w:ilvl w:val="0"/>
          <w:numId w:val="13"/>
        </w:numPr>
        <w:spacing w:before="120" w:after="160"/>
        <w:jc w:val="both"/>
        <w:rPr/>
      </w:pPr>
      <w:r>
        <w:rPr>
          <w:b/>
          <w:bCs/>
        </w:rPr>
        <w:t>le parti</w:t>
      </w:r>
      <w:r>
        <w:rPr/>
        <w:t xml:space="preserve"> assicurano, ciascuna per le proprie competenze e responsabilità, che le opere stradali individuate nell’Allegato n° 1 al Protocollo d’intesa, NON risultano più necessarie  per mantenere l’attraversamento ferroviario sulla viabilità stradale conseguentemente alla chiusura dei PL in argomento, poiché via Antica risulta già accessibile comunque da percorsi alternativi;</w:t>
      </w:r>
    </w:p>
    <w:p>
      <w:pPr>
        <w:pStyle w:val="Normal"/>
        <w:numPr>
          <w:ilvl w:val="0"/>
          <w:numId w:val="0"/>
        </w:numPr>
        <w:spacing w:before="120" w:after="160"/>
        <w:ind w:left="1060" w:hanging="0"/>
        <w:jc w:val="both"/>
        <w:rPr/>
      </w:pPr>
      <w:r>
        <w:rPr/>
      </w:r>
    </w:p>
    <w:p>
      <w:pPr>
        <w:pStyle w:val="Normal"/>
        <w:keepNext w:val="true"/>
        <w:numPr>
          <w:ilvl w:val="0"/>
          <w:numId w:val="8"/>
        </w:numPr>
        <w:tabs>
          <w:tab w:val="clear" w:pos="720"/>
          <w:tab w:val="left" w:pos="345" w:leader="none"/>
        </w:tabs>
        <w:spacing w:before="240" w:after="120"/>
        <w:ind w:left="340" w:hanging="340"/>
        <w:jc w:val="both"/>
        <w:rPr/>
      </w:pPr>
      <w:r>
        <w:rPr>
          <w:rFonts w:cs="Arial"/>
        </w:rPr>
        <w:t>Relativamente agli</w:t>
      </w:r>
      <w:r>
        <w:rPr>
          <w:b/>
          <w:bCs/>
        </w:rPr>
        <w:t xml:space="preserve"> </w:t>
      </w:r>
      <w:r>
        <w:rPr>
          <w:b/>
          <w:bCs/>
          <w:u w:val="single"/>
        </w:rPr>
        <w:t>interventi individuati al precedente punto 1 dell’art. 2 rispettivamente punto:</w:t>
      </w:r>
    </w:p>
    <w:p>
      <w:pPr>
        <w:pStyle w:val="ListParagraph"/>
        <w:spacing w:before="240" w:after="0"/>
        <w:ind w:left="737" w:hanging="0"/>
        <w:contextualSpacing/>
        <w:jc w:val="both"/>
        <w:rPr/>
      </w:pPr>
      <w:r>
        <w:rPr>
          <w:rFonts w:cs="Arial"/>
          <w:b/>
          <w:bCs/>
        </w:rPr>
        <w:t>1.4.</w:t>
        <w:tab/>
      </w:r>
      <w:r>
        <w:rPr>
          <w:rFonts w:cs="Arial"/>
          <w:b/>
          <w:bCs/>
          <w:u w:val="single"/>
        </w:rPr>
        <w:t>PL Via Antica</w:t>
      </w:r>
    </w:p>
    <w:p>
      <w:pPr>
        <w:pStyle w:val="ListParagraph"/>
        <w:spacing w:before="240" w:after="0"/>
        <w:ind w:left="737" w:hanging="0"/>
        <w:contextualSpacing/>
        <w:jc w:val="both"/>
        <w:rPr/>
      </w:pPr>
      <w:r>
        <w:rPr>
          <w:rFonts w:cs="Arial"/>
          <w:b/>
          <w:bCs/>
        </w:rPr>
        <w:t>1.1.bis.</w:t>
        <w:tab/>
      </w:r>
      <w:r>
        <w:rPr>
          <w:rFonts w:cs="Arial"/>
          <w:b/>
          <w:bCs/>
          <w:u w:val="single"/>
        </w:rPr>
        <w:t>PL Viale Trento Trieste</w:t>
      </w:r>
    </w:p>
    <w:p>
      <w:pPr>
        <w:pStyle w:val="ListParagraph"/>
        <w:spacing w:before="240" w:after="0"/>
        <w:ind w:left="737" w:hanging="0"/>
        <w:contextualSpacing/>
        <w:jc w:val="both"/>
        <w:rPr/>
      </w:pPr>
      <w:r>
        <w:rPr>
          <w:rFonts w:cs="Arial"/>
          <w:b/>
          <w:bCs/>
        </w:rPr>
        <w:t>1.2.bis.</w:t>
        <w:tab/>
      </w:r>
      <w:r>
        <w:rPr>
          <w:rFonts w:cs="Arial"/>
          <w:b/>
          <w:bCs/>
          <w:u w:val="single"/>
        </w:rPr>
        <w:t>PL Via Fanti</w:t>
      </w:r>
    </w:p>
    <w:p>
      <w:pPr>
        <w:pStyle w:val="ListParagraph"/>
        <w:spacing w:before="240" w:after="0"/>
        <w:ind w:left="737" w:hanging="0"/>
        <w:contextualSpacing/>
        <w:jc w:val="both"/>
        <w:rPr>
          <w:rFonts w:cs="Arial"/>
          <w:b/>
          <w:b/>
          <w:bCs/>
          <w:u w:val="single"/>
        </w:rPr>
      </w:pPr>
      <w:r>
        <w:rPr>
          <w:rFonts w:cs="Arial"/>
          <w:b/>
          <w:bCs/>
          <w:u w:val="single"/>
        </w:rPr>
      </w:r>
    </w:p>
    <w:p>
      <w:pPr>
        <w:pStyle w:val="ListParagraph"/>
        <w:spacing w:before="240" w:after="0"/>
        <w:ind w:left="737" w:hanging="0"/>
        <w:contextualSpacing/>
        <w:jc w:val="both"/>
        <w:rPr/>
      </w:pPr>
      <w:r>
        <w:rPr/>
        <w:t xml:space="preserve">Le Parti danno esplicitamente atto che la chiusura definitiva dei PL non è subordinata alla realizzazione di alcuna opera di viabilità alternativa o infrastruttura sostitutiva dell’attraversamento ferroviario soppresso. </w:t>
      </w:r>
    </w:p>
    <w:p>
      <w:pPr>
        <w:pStyle w:val="Normal"/>
        <w:spacing w:before="120" w:after="0"/>
        <w:ind w:left="737" w:hanging="0"/>
        <w:jc w:val="both"/>
        <w:rPr/>
      </w:pPr>
      <w:r>
        <w:rPr>
          <w:rFonts w:cs="Arial"/>
        </w:rPr>
        <w:t>Gli interventi consistono pertanto in sintesi nello smantellamento degli impianti ferroviari e dei loro apparati sui PL da sopprimere, nella demolizione della pavimentazione viaria e nella chiusura delle strade con opere definitive ed invalicabili in corrispondenza degli attraversamenti ferroviari soppressi, che sarà realizzata direttamente da FER;</w:t>
      </w:r>
    </w:p>
    <w:p>
      <w:pPr>
        <w:pStyle w:val="Normal"/>
        <w:spacing w:before="120" w:after="0"/>
        <w:ind w:left="737" w:hanging="0"/>
        <w:jc w:val="both"/>
        <w:rPr>
          <w:rFonts w:cs="Arial"/>
          <w:strike/>
          <w:highlight w:val="red"/>
        </w:rPr>
      </w:pPr>
      <w:r>
        <w:rPr>
          <w:rFonts w:cs="Arial"/>
          <w:strike/>
          <w:highlight w:val="red"/>
        </w:rPr>
      </w:r>
    </w:p>
    <w:p>
      <w:pPr>
        <w:pStyle w:val="Normal"/>
        <w:spacing w:before="120" w:after="0"/>
        <w:ind w:left="737" w:hanging="0"/>
        <w:jc w:val="both"/>
        <w:rPr/>
      </w:pPr>
      <w:r>
        <w:rPr>
          <w:rFonts w:cs="Arial"/>
        </w:rPr>
        <w:t>le Parti saranno specificatamente impegnate secondo quanto di seguito elencato, fatta salva la possibilità di eventuali proroghe e/o riprogrammazioni da concordarsi fra le Parti.</w:t>
      </w:r>
    </w:p>
    <w:p>
      <w:pPr>
        <w:pStyle w:val="Normal"/>
        <w:spacing w:before="120" w:after="0"/>
        <w:ind w:left="737" w:hanging="0"/>
        <w:jc w:val="both"/>
        <w:rPr/>
      </w:pPr>
      <w:r>
        <w:rPr>
          <w:b/>
        </w:rPr>
        <w:t>Impegni del COMUNE:</w:t>
      </w:r>
    </w:p>
    <w:p>
      <w:pPr>
        <w:pStyle w:val="Normal"/>
        <w:numPr>
          <w:ilvl w:val="0"/>
          <w:numId w:val="1"/>
        </w:numPr>
        <w:tabs>
          <w:tab w:val="clear" w:pos="720"/>
        </w:tabs>
        <w:spacing w:before="120" w:after="0"/>
        <w:ind w:left="1077" w:hanging="340"/>
        <w:jc w:val="both"/>
        <w:rPr/>
      </w:pPr>
      <w:r>
        <w:rPr>
          <w:rFonts w:cs="Arial"/>
        </w:rPr>
        <w:t>limitatamente all’intervento di via Fanti rilascio dei titoli abilitativi degli interventi di edilizia privata e istituzione di servitù di passaggio a favore del nuovo complesso edilizio e delle abitazioni preesistenti per sbocco su Via Villani, gravante su un lotto dell’area d’intervento oggetto di ristrutturazione, entro i termini stabiliti al successivo art. 4 e monitoraggio l’iter di realizzazione da parte del privato;</w:t>
      </w:r>
    </w:p>
    <w:p>
      <w:pPr>
        <w:pStyle w:val="Normal"/>
        <w:widowControl/>
        <w:numPr>
          <w:ilvl w:val="0"/>
          <w:numId w:val="1"/>
        </w:numPr>
        <w:tabs>
          <w:tab w:val="clear" w:pos="720"/>
        </w:tabs>
        <w:suppressAutoHyphens w:val="true"/>
        <w:bidi w:val="0"/>
        <w:spacing w:lineRule="auto" w:line="259" w:before="120" w:after="0"/>
        <w:ind w:left="1077" w:hanging="340"/>
        <w:jc w:val="both"/>
        <w:rPr/>
      </w:pPr>
      <w:r>
        <w:rPr/>
        <w:t>limitatamente alla soppressione del PL di Viale Trento e Trieste rilascio di autorizzazione alla realizzazione di nuovo accesso sul lato di Via Galliano in un punto corrispondente circa al prolungamento ideale dell’attuale passaggio a livello</w:t>
      </w:r>
    </w:p>
    <w:p>
      <w:pPr>
        <w:pStyle w:val="Normal"/>
        <w:numPr>
          <w:ilvl w:val="0"/>
          <w:numId w:val="1"/>
        </w:numPr>
        <w:tabs>
          <w:tab w:val="clear" w:pos="720"/>
        </w:tabs>
        <w:spacing w:before="120" w:after="0"/>
        <w:ind w:left="1077" w:hanging="340"/>
        <w:jc w:val="both"/>
        <w:rPr/>
      </w:pPr>
      <w:r>
        <w:rPr>
          <w:rFonts w:cs="Arial"/>
        </w:rPr>
        <w:t>emettere, se del caso, i necessari atti approvativi degli interventi che saranno realizzati da FER, entro i termini stabiliti al successivo art. 4;</w:t>
      </w:r>
    </w:p>
    <w:p>
      <w:pPr>
        <w:pStyle w:val="Normal"/>
        <w:numPr>
          <w:ilvl w:val="0"/>
          <w:numId w:val="1"/>
        </w:numPr>
        <w:tabs>
          <w:tab w:val="clear" w:pos="720"/>
        </w:tabs>
        <w:spacing w:before="120" w:after="0"/>
        <w:ind w:left="1077" w:hanging="340"/>
        <w:jc w:val="both"/>
        <w:rPr/>
      </w:pPr>
      <w:r>
        <w:rPr>
          <w:rFonts w:cs="Arial"/>
        </w:rPr>
        <w:t>gestire</w:t>
      </w:r>
      <w:r>
        <w:rPr/>
        <w:t xml:space="preserve"> le comunicazioni ed informazioni alla cittadinanza in merito all’intervento di chiusura definitiva dei PL, tenendo sollevata FER da ogni incombenza in merito;</w:t>
      </w:r>
    </w:p>
    <w:p>
      <w:pPr>
        <w:pStyle w:val="Normal"/>
        <w:numPr>
          <w:ilvl w:val="0"/>
          <w:numId w:val="1"/>
        </w:numPr>
        <w:tabs>
          <w:tab w:val="clear" w:pos="720"/>
        </w:tabs>
        <w:spacing w:before="120" w:after="0"/>
        <w:ind w:left="1077" w:hanging="340"/>
        <w:jc w:val="both"/>
        <w:rPr/>
      </w:pPr>
      <w:r>
        <w:rPr>
          <w:rFonts w:cs="Arial"/>
        </w:rPr>
        <w:t>emanare</w:t>
      </w:r>
      <w:r>
        <w:rPr/>
        <w:t>, entro i termini stabiliti al successivo art. 4, le ordinanze di modifica della circolazione stradale e chiusura dei PL;</w:t>
      </w:r>
    </w:p>
    <w:p>
      <w:pPr>
        <w:pStyle w:val="Normal"/>
        <w:spacing w:before="120" w:after="0"/>
        <w:ind w:left="1457" w:hanging="0"/>
        <w:jc w:val="both"/>
        <w:rPr/>
      </w:pPr>
      <w:r>
        <w:rPr/>
      </w:r>
    </w:p>
    <w:p>
      <w:pPr>
        <w:pStyle w:val="Normal"/>
        <w:keepNext w:val="true"/>
        <w:spacing w:before="200" w:after="0"/>
        <w:ind w:left="737" w:hanging="0"/>
        <w:jc w:val="both"/>
        <w:rPr/>
      </w:pPr>
      <w:r>
        <w:rPr>
          <w:b/>
        </w:rPr>
        <w:t>Impegni di FER:</w:t>
      </w:r>
    </w:p>
    <w:p>
      <w:pPr>
        <w:pStyle w:val="Normal"/>
        <w:numPr>
          <w:ilvl w:val="0"/>
          <w:numId w:val="9"/>
        </w:numPr>
        <w:tabs>
          <w:tab w:val="clear" w:pos="720"/>
        </w:tabs>
        <w:spacing w:before="200" w:after="0"/>
        <w:ind w:left="1077" w:hanging="340"/>
        <w:jc w:val="both"/>
        <w:rPr>
          <w:rFonts w:cs="Arial"/>
        </w:rPr>
      </w:pPr>
      <w:r>
        <w:rPr>
          <w:rFonts w:cs="Arial"/>
        </w:rPr>
        <w:t>limitatamente all’intervento di via Fanti rilasciare l’autorizzazione alla costruzione in deroga ai limiti di distanza dalla linea ferroviaria, giusta istanza agli atti di FER prot. n. ____ del __________ (l’intervento ricade anche all’interno della fascia di rispetto ferroviario di RFI che ha già rilasciato l’autorizzazione);</w:t>
      </w:r>
    </w:p>
    <w:p>
      <w:pPr>
        <w:pStyle w:val="Normal"/>
        <w:numPr>
          <w:ilvl w:val="0"/>
          <w:numId w:val="9"/>
        </w:numPr>
        <w:tabs>
          <w:tab w:val="clear" w:pos="720"/>
        </w:tabs>
        <w:spacing w:before="200" w:after="0"/>
        <w:ind w:left="1077" w:hanging="340"/>
        <w:jc w:val="both"/>
        <w:rPr/>
      </w:pPr>
      <w:r>
        <w:rPr>
          <w:rFonts w:cs="Arial"/>
        </w:rPr>
        <w:t>realizzazione a propria cura e responsabilità delle opere di smantellamento degli impianti ferroviari sui PL in argomento, di demolizione della pavimentazione viaria, di chiusura della strada con opere definitive ed invalicabili in corrispondenza degli attraversamenti ferroviari soppressi;</w:t>
      </w:r>
    </w:p>
    <w:p>
      <w:pPr>
        <w:pStyle w:val="Normal"/>
        <w:numPr>
          <w:ilvl w:val="0"/>
          <w:numId w:val="9"/>
        </w:numPr>
        <w:tabs>
          <w:tab w:val="clear" w:pos="720"/>
        </w:tabs>
        <w:spacing w:before="200" w:after="0"/>
        <w:ind w:left="1077" w:hanging="340"/>
        <w:jc w:val="both"/>
        <w:rPr/>
      </w:pPr>
      <w:r>
        <w:rPr>
          <w:rFonts w:cs="Arial"/>
        </w:rPr>
        <w:t>svolgere il ruolo di Stazione Appaltante per la realizzazione delle opere di cui al precedente punto b) (direttamente o attraverso le procedure di affidamento in uso presso la società a ditte che non si trovino in alcuna delle condizioni preclusive di cui all’art. 80 del D.lgs. n. 50-2016 e ss.mm.ii. e, più in generale, nel rispetto delle vigenti norme sui lavori pubblici);</w:t>
      </w:r>
    </w:p>
    <w:p>
      <w:pPr>
        <w:pStyle w:val="Normal"/>
        <w:numPr>
          <w:ilvl w:val="0"/>
          <w:numId w:val="9"/>
        </w:numPr>
        <w:tabs>
          <w:tab w:val="clear" w:pos="720"/>
        </w:tabs>
        <w:spacing w:before="200" w:after="0"/>
        <w:ind w:left="1077" w:hanging="340"/>
        <w:jc w:val="both"/>
        <w:rPr/>
      </w:pPr>
      <w:r>
        <w:rPr>
          <w:rFonts w:cs="Arial"/>
        </w:rPr>
        <w:t>curare la Direzione lavori e il Coordinamento della sicurezza in fase di esecuzione, direttamente o mediante uno o più professionisti esterni scelti attraverso le procedure di affidamento in uso presso la società e in possesso dei requisiti di legge;</w:t>
      </w:r>
    </w:p>
    <w:p>
      <w:pPr>
        <w:pStyle w:val="Normal"/>
        <w:numPr>
          <w:ilvl w:val="0"/>
          <w:numId w:val="9"/>
        </w:numPr>
        <w:tabs>
          <w:tab w:val="clear" w:pos="720"/>
        </w:tabs>
        <w:spacing w:before="200" w:after="0"/>
        <w:ind w:left="1077" w:hanging="340"/>
        <w:jc w:val="both"/>
        <w:rPr>
          <w:rFonts w:cs="Arial"/>
        </w:rPr>
      </w:pPr>
      <w:r>
        <w:rPr>
          <w:rFonts w:cs="Arial"/>
        </w:rPr>
        <w:t>curare i collaudi/certificazioni di regolare esecuzione, direttamente o mediante uno o più professionisti esterni in possesso dei requisiti di legge;</w:t>
      </w:r>
    </w:p>
    <w:p>
      <w:pPr>
        <w:pStyle w:val="Normal"/>
        <w:keepNext w:val="true"/>
        <w:numPr>
          <w:ilvl w:val="0"/>
          <w:numId w:val="8"/>
        </w:numPr>
        <w:tabs>
          <w:tab w:val="clear" w:pos="720"/>
          <w:tab w:val="left" w:pos="345" w:leader="none"/>
        </w:tabs>
        <w:spacing w:before="240" w:after="120"/>
        <w:ind w:left="340" w:hanging="340"/>
        <w:jc w:val="both"/>
        <w:rPr/>
      </w:pPr>
      <w:r>
        <w:rPr>
          <w:rFonts w:cs="Arial"/>
        </w:rPr>
        <w:t>Relativamente agli</w:t>
      </w:r>
      <w:r>
        <w:rPr>
          <w:b/>
          <w:bCs/>
        </w:rPr>
        <w:t xml:space="preserve"> </w:t>
      </w:r>
      <w:r>
        <w:rPr>
          <w:b/>
          <w:bCs/>
          <w:u w:val="single"/>
        </w:rPr>
        <w:t>interventi individuati al precedente punto 1 dell’art. 2 rispettivamente punto:</w:t>
      </w:r>
    </w:p>
    <w:p>
      <w:pPr>
        <w:pStyle w:val="Normal"/>
        <w:ind w:left="737" w:hanging="0"/>
        <w:jc w:val="both"/>
        <w:rPr/>
      </w:pPr>
      <w:r>
        <w:rPr>
          <w:rFonts w:cs="Arial"/>
          <w:b/>
          <w:bCs/>
        </w:rPr>
        <w:t>1.6.</w:t>
        <w:tab/>
      </w:r>
      <w:r>
        <w:rPr>
          <w:b/>
          <w:u w:val="single"/>
        </w:rPr>
        <w:t xml:space="preserve">nuovo </w:t>
      </w:r>
      <w:r>
        <w:rPr>
          <w:rFonts w:cs="Arial"/>
          <w:b/>
          <w:bCs/>
          <w:u w:val="single"/>
        </w:rPr>
        <w:t xml:space="preserve">PL </w:t>
      </w:r>
      <w:r>
        <w:rPr>
          <w:b/>
          <w:u w:val="single"/>
        </w:rPr>
        <w:t xml:space="preserve"> Viale Ramazzini</w:t>
      </w:r>
    </w:p>
    <w:p>
      <w:pPr>
        <w:pStyle w:val="Normal"/>
        <w:spacing w:before="120" w:after="0"/>
        <w:ind w:left="737" w:hanging="0"/>
        <w:jc w:val="both"/>
        <w:rPr/>
      </w:pPr>
      <w:r>
        <w:rPr>
          <w:rFonts w:cs="Arial"/>
        </w:rPr>
        <w:t>le Parti saranno specificatamente impegnate secondo quanto di seguito elencato, fatta salva la possibilità di eventuali proroghe e/o riprogrammazioni da concordarsi fra le Parti.</w:t>
      </w:r>
    </w:p>
    <w:p>
      <w:pPr>
        <w:pStyle w:val="Normal"/>
        <w:ind w:left="737" w:hanging="0"/>
        <w:jc w:val="both"/>
        <w:rPr/>
      </w:pPr>
      <w:r>
        <w:rPr>
          <w:b/>
        </w:rPr>
        <w:t>Impegni del COMUNE:</w:t>
      </w:r>
    </w:p>
    <w:p>
      <w:pPr>
        <w:pStyle w:val="Normal"/>
        <w:numPr>
          <w:ilvl w:val="0"/>
          <w:numId w:val="16"/>
        </w:numPr>
        <w:tabs>
          <w:tab w:val="clear" w:pos="720"/>
          <w:tab w:val="left" w:pos="1080" w:leader="none"/>
        </w:tabs>
        <w:ind w:left="1077" w:hanging="340"/>
        <w:jc w:val="both"/>
        <w:rPr/>
      </w:pPr>
      <w:r>
        <w:rPr/>
        <w:t>completamento delle opere stradali per l’apertura del nuovo PL 3, da attuare a propria cura e spesa, entro i termini stabiliti al successivo art. 4;</w:t>
      </w:r>
    </w:p>
    <w:p>
      <w:pPr>
        <w:pStyle w:val="Normal"/>
        <w:ind w:left="737" w:hanging="0"/>
        <w:jc w:val="both"/>
        <w:rPr/>
      </w:pPr>
      <w:r>
        <w:rPr>
          <w:b/>
        </w:rPr>
        <w:t>Impegni di FER:</w:t>
      </w:r>
    </w:p>
    <w:p>
      <w:pPr>
        <w:pStyle w:val="Normal"/>
        <w:numPr>
          <w:ilvl w:val="0"/>
          <w:numId w:val="17"/>
        </w:numPr>
        <w:tabs>
          <w:tab w:val="clear" w:pos="720"/>
          <w:tab w:val="left" w:pos="1080" w:leader="none"/>
        </w:tabs>
        <w:ind w:left="1077" w:hanging="340"/>
        <w:jc w:val="both"/>
        <w:rPr/>
      </w:pPr>
      <w:r>
        <w:rPr/>
        <w:t>completamento delle opere di segnalamento ferroviario per l’apertura del nuovo PL 3, , entro i termini stabiliti al successivo art. 4;</w:t>
      </w:r>
    </w:p>
    <w:p>
      <w:pPr>
        <w:pStyle w:val="Normal"/>
        <w:jc w:val="both"/>
        <w:rPr>
          <w:b/>
          <w:b/>
        </w:rPr>
      </w:pPr>
      <w:r>
        <w:rPr>
          <w:b/>
        </w:rPr>
      </w:r>
    </w:p>
    <w:p>
      <w:pPr>
        <w:pStyle w:val="Normal"/>
        <w:jc w:val="both"/>
        <w:rPr/>
      </w:pPr>
      <w:r>
        <w:rPr>
          <w:b/>
        </w:rPr>
        <w:t>Art. 4 – IMPEGNI TRA LE PARTI IN MERITO ALLE TEMPISTICHE DI REALIZZAZIONE DEGLI INTERVENTI</w:t>
      </w:r>
    </w:p>
    <w:p>
      <w:pPr>
        <w:pStyle w:val="Normal"/>
        <w:jc w:val="both"/>
        <w:rPr/>
      </w:pPr>
      <w:r>
        <w:rPr/>
        <w:t>Fatta salva la possibilità di eventuali proroghe e/o riprogrammazioni da concordarsi fra le Parti, si stabilisce quanto segue:</w:t>
      </w:r>
    </w:p>
    <w:p>
      <w:pPr>
        <w:pStyle w:val="Normal"/>
        <w:keepNext w:val="true"/>
        <w:numPr>
          <w:ilvl w:val="0"/>
          <w:numId w:val="14"/>
        </w:numPr>
        <w:tabs>
          <w:tab w:val="clear" w:pos="720"/>
          <w:tab w:val="left" w:pos="345" w:leader="none"/>
        </w:tabs>
        <w:spacing w:before="240" w:after="120"/>
        <w:ind w:left="340" w:hanging="340"/>
        <w:jc w:val="both"/>
        <w:rPr/>
      </w:pPr>
      <w:r>
        <w:rPr>
          <w:rFonts w:cs="Arial"/>
        </w:rPr>
        <w:t>Relativamente agli</w:t>
      </w:r>
      <w:r>
        <w:rPr>
          <w:b/>
          <w:bCs/>
        </w:rPr>
        <w:t xml:space="preserve"> </w:t>
      </w:r>
      <w:r>
        <w:rPr>
          <w:b/>
          <w:bCs/>
          <w:u w:val="single"/>
        </w:rPr>
        <w:t>interventi individuati al precedente punto 1 dell’art. 2 rispettivamente punto:</w:t>
      </w:r>
    </w:p>
    <w:p>
      <w:pPr>
        <w:pStyle w:val="ListParagraph"/>
        <w:spacing w:before="240" w:after="0"/>
        <w:ind w:left="737" w:hanging="0"/>
        <w:contextualSpacing/>
        <w:jc w:val="both"/>
        <w:rPr/>
      </w:pPr>
      <w:r>
        <w:rPr>
          <w:rFonts w:cs="Arial"/>
          <w:b/>
          <w:bCs/>
        </w:rPr>
        <w:t>1.4.</w:t>
        <w:tab/>
      </w:r>
      <w:r>
        <w:rPr>
          <w:rFonts w:cs="Arial"/>
          <w:b/>
          <w:bCs/>
          <w:u w:val="single"/>
        </w:rPr>
        <w:t>PL Via Antica</w:t>
      </w:r>
    </w:p>
    <w:p>
      <w:pPr>
        <w:pStyle w:val="ListParagraph"/>
        <w:spacing w:before="240" w:after="0"/>
        <w:ind w:left="737" w:hanging="0"/>
        <w:contextualSpacing/>
        <w:jc w:val="both"/>
        <w:rPr/>
      </w:pPr>
      <w:r>
        <w:rPr>
          <w:rFonts w:cs="Arial"/>
          <w:b/>
          <w:bCs/>
        </w:rPr>
        <w:t>1.1.bis.</w:t>
        <w:tab/>
      </w:r>
      <w:r>
        <w:rPr>
          <w:rFonts w:cs="Arial"/>
          <w:b/>
          <w:bCs/>
          <w:u w:val="single"/>
        </w:rPr>
        <w:t>PL Viale Trento Trieste</w:t>
      </w:r>
    </w:p>
    <w:p>
      <w:pPr>
        <w:pStyle w:val="ListParagraph"/>
        <w:spacing w:before="240" w:after="0"/>
        <w:ind w:left="737" w:hanging="0"/>
        <w:contextualSpacing/>
        <w:jc w:val="both"/>
        <w:rPr/>
      </w:pPr>
      <w:r>
        <w:rPr>
          <w:rFonts w:cs="Arial"/>
          <w:b/>
          <w:bCs/>
        </w:rPr>
        <w:t>1.2.bis.</w:t>
        <w:tab/>
      </w:r>
      <w:r>
        <w:rPr>
          <w:rFonts w:cs="Arial"/>
          <w:b/>
          <w:bCs/>
          <w:u w:val="single"/>
        </w:rPr>
        <w:t>PL Via Fanti</w:t>
      </w:r>
    </w:p>
    <w:p>
      <w:pPr>
        <w:pStyle w:val="ListParagraph"/>
        <w:spacing w:before="240" w:after="0"/>
        <w:contextualSpacing/>
        <w:jc w:val="both"/>
        <w:rPr>
          <w:rFonts w:cs="Arial"/>
          <w:b/>
          <w:b/>
          <w:bCs/>
          <w:u w:val="single"/>
        </w:rPr>
      </w:pPr>
      <w:r>
        <w:rPr>
          <w:rFonts w:cs="Arial"/>
          <w:b/>
          <w:bCs/>
          <w:u w:val="single"/>
        </w:rPr>
      </w:r>
    </w:p>
    <w:p>
      <w:pPr>
        <w:pStyle w:val="ListParagraph"/>
        <w:numPr>
          <w:ilvl w:val="0"/>
          <w:numId w:val="15"/>
        </w:numPr>
        <w:tabs>
          <w:tab w:val="clear" w:pos="720"/>
          <w:tab w:val="left" w:pos="1077" w:leader="none"/>
        </w:tabs>
        <w:spacing w:before="240" w:after="0"/>
        <w:ind w:left="1077" w:hanging="340"/>
        <w:contextualSpacing/>
        <w:jc w:val="both"/>
        <w:rPr/>
      </w:pPr>
      <w:r>
        <w:rPr/>
        <w:t xml:space="preserve">in generale, l’avvio dei lavori è subordinato ai seguenti adempimenti in capo al </w:t>
      </w:r>
      <w:r>
        <w:rPr>
          <w:b/>
          <w:bCs/>
        </w:rPr>
        <w:t>Comune</w:t>
      </w:r>
      <w:r>
        <w:rPr/>
        <w:t>, da realizzarsi con tempistiche tali da non compromettere la tempestiva realizzazione dell’opera, cioè indicativamente entro 15 (quindici) giorni naturali e consecutivi dalla data di sottoscrizione del presente atto:</w:t>
      </w:r>
    </w:p>
    <w:p>
      <w:pPr>
        <w:pStyle w:val="ListParagraph"/>
        <w:numPr>
          <w:ilvl w:val="1"/>
          <w:numId w:val="15"/>
        </w:numPr>
        <w:tabs>
          <w:tab w:val="clear" w:pos="720"/>
          <w:tab w:val="left" w:pos="1417" w:leader="none"/>
        </w:tabs>
        <w:spacing w:before="240" w:after="0"/>
        <w:ind w:left="1417" w:hanging="340"/>
        <w:contextualSpacing/>
        <w:jc w:val="both"/>
        <w:rPr/>
      </w:pPr>
      <w:r>
        <w:rPr>
          <w:rFonts w:cs="Arial"/>
        </w:rPr>
        <w:t xml:space="preserve">emanazione della ordinanza di chiusura definitiva del PL con effetto immediato; </w:t>
      </w:r>
    </w:p>
    <w:p>
      <w:pPr>
        <w:pStyle w:val="ListParagraph"/>
        <w:numPr>
          <w:ilvl w:val="1"/>
          <w:numId w:val="15"/>
        </w:numPr>
        <w:tabs>
          <w:tab w:val="clear" w:pos="720"/>
          <w:tab w:val="left" w:pos="1417" w:leader="none"/>
        </w:tabs>
        <w:spacing w:before="240" w:after="0"/>
        <w:ind w:left="1417" w:hanging="340"/>
        <w:contextualSpacing/>
        <w:jc w:val="both"/>
        <w:rPr/>
      </w:pPr>
      <w:r>
        <w:rPr>
          <w:rFonts w:cs="Arial"/>
        </w:rPr>
        <w:t>eventualmente emanazione di temporanea modifica della viabilità locale onde garantire che la viabilità ordinaria non interessi le aree dei cantieri per tutta la durata degli stessi.</w:t>
      </w:r>
      <w:bookmarkStart w:id="2" w:name="move105420907"/>
      <w:bookmarkEnd w:id="2"/>
    </w:p>
    <w:p>
      <w:pPr>
        <w:pStyle w:val="ListParagraph"/>
        <w:numPr>
          <w:ilvl w:val="0"/>
          <w:numId w:val="15"/>
        </w:numPr>
        <w:tabs>
          <w:tab w:val="clear" w:pos="720"/>
          <w:tab w:val="left" w:pos="1077" w:leader="none"/>
        </w:tabs>
        <w:spacing w:before="240" w:after="0"/>
        <w:ind w:left="1077" w:hanging="340"/>
        <w:contextualSpacing/>
        <w:jc w:val="both"/>
        <w:rPr>
          <w:rFonts w:cs="Arial"/>
        </w:rPr>
      </w:pPr>
      <w:r>
        <w:rPr/>
        <w:t xml:space="preserve">tali tempistiche non saranno vincolanti per il solo intervento </w:t>
      </w:r>
      <w:r>
        <w:rPr>
          <w:rFonts w:cs="Arial"/>
        </w:rPr>
        <w:t>di via Fanti, per cui la chiusura del passaggio a livello è condizionata alla realizzazione delle opere di demolizione degli edifici per lo sbocco su Via Villani che garantiscono un nuovo accesso al lotto di proprietà privata intercluso, come da titoli edilizi autorizzativi rilasciati dal Comune di Reggio Emilia, che prevedono l’impegno del Comune a scontare gli oneri di urbanizzazione a fronte della chiusura del PL e all'apertura della nuova strada;</w:t>
      </w:r>
    </w:p>
    <w:p>
      <w:pPr>
        <w:pStyle w:val="ListParagraph"/>
        <w:numPr>
          <w:ilvl w:val="0"/>
          <w:numId w:val="15"/>
        </w:numPr>
        <w:tabs>
          <w:tab w:val="clear" w:pos="720"/>
          <w:tab w:val="left" w:pos="1077" w:leader="none"/>
        </w:tabs>
        <w:spacing w:before="240" w:after="0"/>
        <w:ind w:left="1077" w:hanging="340"/>
        <w:contextualSpacing/>
        <w:jc w:val="both"/>
        <w:rPr/>
      </w:pPr>
      <w:r>
        <w:rPr/>
        <w:t xml:space="preserve">relativamente all’intervento di via Fanti, l’avvio dei lavori è subordinato inoltre ai seguenti adempimenti in capo al </w:t>
      </w:r>
      <w:r>
        <w:rPr>
          <w:b/>
          <w:bCs/>
        </w:rPr>
        <w:t>Comune</w:t>
      </w:r>
      <w:r>
        <w:rPr/>
        <w:t>, da realizzarsi con tempistiche tali da non compromettere la tempestiva realizzazione dell’opera:</w:t>
      </w:r>
    </w:p>
    <w:p>
      <w:pPr>
        <w:pStyle w:val="ListParagraph"/>
        <w:numPr>
          <w:ilvl w:val="1"/>
          <w:numId w:val="15"/>
        </w:numPr>
        <w:tabs>
          <w:tab w:val="clear" w:pos="720"/>
          <w:tab w:val="left" w:pos="1410" w:leader="none"/>
        </w:tabs>
        <w:spacing w:before="240" w:after="0"/>
        <w:ind w:left="1417" w:hanging="340"/>
        <w:contextualSpacing/>
        <w:jc w:val="both"/>
        <w:rPr/>
      </w:pPr>
      <w:bookmarkStart w:id="3" w:name="__DdeLink__1085_808915491"/>
      <w:r>
        <w:rPr>
          <w:rFonts w:cs="Arial"/>
        </w:rPr>
        <w:t>istituzione di servitù di passaggio a favore del nuovo complesso edilizio e delle abitazioni preesistenti per sbocco su Via Villani</w:t>
      </w:r>
      <w:bookmarkEnd w:id="3"/>
      <w:r>
        <w:rPr>
          <w:rFonts w:cs="Arial"/>
        </w:rPr>
        <w:t>, gravante su un lotto dell’area d’intervento oggetto di ristrutturazione con demolizione e ricostruzione del nuovo complesso residenziale di proprietà privata;</w:t>
      </w:r>
    </w:p>
    <w:p>
      <w:pPr>
        <w:pStyle w:val="ListParagraph"/>
        <w:numPr>
          <w:ilvl w:val="0"/>
          <w:numId w:val="15"/>
        </w:numPr>
        <w:spacing w:before="240" w:after="0"/>
        <w:ind w:left="1077" w:hanging="340"/>
        <w:contextualSpacing/>
        <w:jc w:val="both"/>
        <w:rPr/>
      </w:pPr>
      <w:r>
        <w:rPr>
          <w:rFonts w:cs="Arial"/>
        </w:rPr>
        <w:t>la chiusura dei PL di via Antica e di via Trento Trieste, da attuarsi a cura e spese di FER, è prevista entro il 30/07/2022, contestualmente al termine ipotizzato per l’apertura del nuovo PL di Viale Ramazzini;</w:t>
      </w:r>
    </w:p>
    <w:p>
      <w:pPr>
        <w:pStyle w:val="ListParagraph"/>
        <w:spacing w:before="240" w:after="0"/>
        <w:ind w:left="1077" w:hanging="340"/>
        <w:contextualSpacing/>
        <w:jc w:val="both"/>
        <w:rPr>
          <w:rFonts w:cs="Arial"/>
        </w:rPr>
      </w:pPr>
      <w:r>
        <w:rPr/>
      </w:r>
    </w:p>
    <w:p>
      <w:pPr>
        <w:pStyle w:val="ListParagraph"/>
        <w:widowControl/>
        <w:numPr>
          <w:ilvl w:val="0"/>
          <w:numId w:val="20"/>
        </w:numPr>
        <w:tabs>
          <w:tab w:val="clear" w:pos="720"/>
          <w:tab w:val="left" w:pos="345" w:leader="none"/>
        </w:tabs>
        <w:suppressAutoHyphens w:val="true"/>
        <w:bidi w:val="0"/>
        <w:spacing w:lineRule="auto" w:line="259" w:before="240" w:after="0"/>
        <w:ind w:left="340" w:right="0" w:hanging="340"/>
        <w:contextualSpacing/>
        <w:jc w:val="both"/>
        <w:rPr>
          <w:sz w:val="22"/>
        </w:rPr>
      </w:pPr>
      <w:r>
        <w:rPr>
          <w:rFonts w:cs="Arial"/>
          <w:b w:val="false"/>
          <w:bCs w:val="false"/>
          <w:sz w:val="22"/>
        </w:rPr>
        <w:t>Relativamente</w:t>
      </w:r>
      <w:r>
        <w:rPr>
          <w:rFonts w:cs="Arial"/>
          <w:b/>
          <w:bCs/>
          <w:sz w:val="22"/>
        </w:rPr>
        <w:t xml:space="preserve"> all’</w:t>
      </w:r>
      <w:r>
        <w:rPr>
          <w:b/>
          <w:bCs/>
          <w:sz w:val="22"/>
          <w:u w:val="single"/>
        </w:rPr>
        <w:t>intervento individuato al precedente punto 1 dell’art. 2 rispettivamente punto:</w:t>
      </w:r>
    </w:p>
    <w:p>
      <w:pPr>
        <w:pStyle w:val="Normal"/>
        <w:ind w:left="737" w:hanging="0"/>
        <w:jc w:val="both"/>
        <w:rPr/>
      </w:pPr>
      <w:r>
        <w:rPr>
          <w:b/>
        </w:rPr>
        <w:t xml:space="preserve">1.6. </w:t>
        <w:tab/>
      </w:r>
      <w:r>
        <w:rPr>
          <w:b/>
          <w:u w:val="single"/>
        </w:rPr>
        <w:t xml:space="preserve">nuovo </w:t>
      </w:r>
      <w:r>
        <w:rPr>
          <w:rFonts w:cs="Arial"/>
          <w:b/>
          <w:bCs/>
          <w:u w:val="single"/>
        </w:rPr>
        <w:t xml:space="preserve">PL </w:t>
      </w:r>
      <w:r>
        <w:rPr>
          <w:b/>
          <w:u w:val="single"/>
        </w:rPr>
        <w:t xml:space="preserve"> Viale Ramazzini</w:t>
      </w:r>
    </w:p>
    <w:p>
      <w:pPr>
        <w:pStyle w:val="Normal"/>
        <w:ind w:left="737" w:hanging="0"/>
        <w:jc w:val="both"/>
        <w:rPr/>
      </w:pPr>
      <w:r>
        <w:rPr/>
        <w:t xml:space="preserve">Le Parti danno atto che, come previsto nel succitato aggiornamento della analisi e valutazione del rischio effettuata da FER s.r.l., Gestore Infrastruttura delle linee ferroviarie regionali ER, considerando il nuovo scenario che ivi si prospetta, la messa in servizio del PL e la relativa apertura al traffico stradale dell’attraversamento ferroviario è subordinata all’inizio dei lavori per la chiusura definitiva dei PL n. 13 (progr. Km 8 + 296 - via Antica) e n. 3a (progr. Km 1+998 - viale Trento Trieste, PL “interno”, limitrofo alla stazione di Reggio Santo Stefano), previa emanazione da parte del Comune di Reggio Emilia della ordinanza di chiusura definitiva dei PL con effetto posticipato alla ultimazione delle relative opere stradali; rimane comunque l’impegno del Comune di Reggio Emilia alla chiusura, sebbene temporalmente successiva,  anche del PL </w:t>
      </w:r>
      <w:r>
        <w:rPr>
          <w:rFonts w:cs="Arial"/>
        </w:rPr>
        <w:t>n. 1 (progr. Km 1+259</w:t>
      </w:r>
      <w:r>
        <w:rPr/>
        <w:t>- via Fanti) della linea ferroviaria Reggio Emilia – Ciano d’Enza dando atto che sono già stati rilasciati i titoli abilitativi (pratica edilizia dell’intervento di ristrutturazione con demolizione e ricostruzione, agli atti del Comune di Reggio Emilia ai PG n. 2022/126775 e 2022/126798 del 20/05/2022) dell’intervento di edilizia privata che prevede la chiusura definitiva del PL di via Fanti e l’istituzione di servitù di passaggio a favore del nuovo complesso edilizio e delle abitazioni preesistenti per sbocco su Via Villani, gravante su un lotto dell’area d’intervento oggetto di ristrutturazione.</w:t>
      </w:r>
    </w:p>
    <w:p>
      <w:pPr>
        <w:pStyle w:val="Normal"/>
        <w:ind w:left="737" w:hanging="0"/>
        <w:jc w:val="both"/>
        <w:rPr/>
      </w:pPr>
      <w:r>
        <w:rPr/>
        <w:t>L’ultimazione dell’esecuzione complessiva degli interventi di completamento delle opere stradali a cura del Comune di Reggio Emilia e di segnalamento ferroviario a cura di FER, è prevista entro il 30/07/2022 salvo eventuali procrastinazioni, cui seguiranno le fasi di collaudo e apertura al pubblico esercizio.</w:t>
      </w:r>
    </w:p>
    <w:p>
      <w:pPr>
        <w:pStyle w:val="Normal"/>
        <w:jc w:val="both"/>
        <w:rPr>
          <w:b/>
          <w:b/>
          <w:bCs/>
        </w:rPr>
      </w:pPr>
      <w:r>
        <w:rPr>
          <w:b/>
          <w:bCs/>
        </w:rPr>
      </w:r>
    </w:p>
    <w:p>
      <w:pPr>
        <w:pStyle w:val="Normal"/>
        <w:keepNext w:val="true"/>
        <w:jc w:val="both"/>
        <w:rPr>
          <w:b/>
          <w:b/>
          <w:bCs/>
        </w:rPr>
      </w:pPr>
      <w:r>
        <w:rPr>
          <w:b/>
          <w:bCs/>
        </w:rPr>
        <w:t>Art. 5 - VARIAZIONI IN CORSO DI ESECUZIONE</w:t>
      </w:r>
    </w:p>
    <w:p>
      <w:pPr>
        <w:pStyle w:val="Normal"/>
        <w:jc w:val="both"/>
        <w:rPr/>
      </w:pPr>
      <w:r>
        <w:rPr/>
        <w:t>Ogni variante in corso d’opera, di natura sostanziale, dovrà essere sottoposta preventivamente alla approvazione del Comune e di FER.</w:t>
      </w:r>
    </w:p>
    <w:p>
      <w:pPr>
        <w:pStyle w:val="Normal"/>
        <w:jc w:val="both"/>
        <w:rPr/>
      </w:pPr>
      <w:r>
        <w:rPr/>
      </w:r>
    </w:p>
    <w:p>
      <w:pPr>
        <w:pStyle w:val="Normal"/>
        <w:jc w:val="both"/>
        <w:rPr>
          <w:b/>
          <w:b/>
          <w:bCs/>
        </w:rPr>
      </w:pPr>
      <w:r>
        <w:rPr>
          <w:b/>
          <w:bCs/>
        </w:rPr>
        <w:t>Art. 6 - GESTIONE E MANUTENZIONE</w:t>
      </w:r>
    </w:p>
    <w:p>
      <w:pPr>
        <w:pStyle w:val="Normal"/>
        <w:jc w:val="both"/>
        <w:rPr/>
      </w:pPr>
      <w:r>
        <w:rPr/>
        <w:t>Invariato: La definizione degli oneri di manutenzione e gestione a carico delle Parti relativi alle opere realizzate e impianti connessi viene rimandata alle successive specifiche convenzioni attuative.</w:t>
      </w:r>
    </w:p>
    <w:p>
      <w:pPr>
        <w:pStyle w:val="Normal"/>
        <w:jc w:val="both"/>
        <w:rPr/>
      </w:pPr>
      <w:r>
        <w:rPr/>
      </w:r>
    </w:p>
    <w:p>
      <w:pPr>
        <w:pStyle w:val="Normal"/>
        <w:jc w:val="both"/>
        <w:rPr>
          <w:b/>
          <w:b/>
          <w:bCs/>
        </w:rPr>
      </w:pPr>
      <w:r>
        <w:rPr>
          <w:b/>
          <w:bCs/>
        </w:rPr>
        <w:t>ART. 7 – VERIFICA DELLE ATTIVITÀ</w:t>
      </w:r>
    </w:p>
    <w:p>
      <w:pPr>
        <w:pStyle w:val="Normal"/>
        <w:jc w:val="both"/>
        <w:rPr/>
      </w:pPr>
      <w:r>
        <w:rPr/>
        <w:t>A partire dalla data di sottoscrizione del presente Accordo, le parti si impegnano a fissare incontri periodici per monitorare e verificare lo stato d’attuazione degli interventi e vigilare sulla corretta applicazione e sul buon andamento dell’esecuzione dell’Accordo medesimo nell’osservanza degli impegni assunti dalle Parti firmatarie. Nel corso degli incontri sarà anche verificato il rispetto della tempistica attuativa e valutate eventuali azioni correttive del caso, redigendo al riguardo specifici verbali.</w:t>
      </w:r>
    </w:p>
    <w:p>
      <w:pPr>
        <w:pStyle w:val="Normal"/>
        <w:jc w:val="both"/>
        <w:rPr>
          <w:b/>
          <w:b/>
          <w:bCs/>
        </w:rPr>
      </w:pPr>
      <w:r>
        <w:rPr>
          <w:b/>
          <w:bCs/>
        </w:rPr>
      </w:r>
    </w:p>
    <w:p>
      <w:pPr>
        <w:pStyle w:val="Normal"/>
        <w:jc w:val="both"/>
        <w:rPr>
          <w:b/>
          <w:b/>
          <w:bCs/>
        </w:rPr>
      </w:pPr>
      <w:r>
        <w:rPr>
          <w:b/>
          <w:bCs/>
        </w:rPr>
        <w:t>ART. 8 – PRIVACY</w:t>
      </w:r>
    </w:p>
    <w:p>
      <w:pPr>
        <w:pStyle w:val="Normal"/>
        <w:jc w:val="both"/>
        <w:rPr/>
      </w:pPr>
      <w:r>
        <w:rPr/>
        <w:t xml:space="preserve">Invariato: Il Comune, in qualità di titolare, tratterà i dati personali conferiti con il presente atto, con modalità prevalentemente informatiche e telematiche, per le finalità previste dal Reg. UE n° 679/2016 e del D. Lgs. n. 196 del 30 giugno 2003, per le disposizioni non incompatibili con il Regolamento medesimo, in particolare per l'esecuzione dei propri compiti di interesse pubblico o comunque connessi all'esercizio dei propri pubblici poteri. </w:t>
      </w:r>
    </w:p>
    <w:p>
      <w:pPr>
        <w:pStyle w:val="Normal"/>
        <w:jc w:val="both"/>
        <w:rPr/>
      </w:pPr>
      <w:r>
        <w:rPr/>
      </w:r>
    </w:p>
    <w:p>
      <w:pPr>
        <w:pStyle w:val="Normal"/>
        <w:keepNext w:val="true"/>
        <w:jc w:val="both"/>
        <w:rPr>
          <w:b/>
          <w:b/>
          <w:bCs/>
        </w:rPr>
      </w:pPr>
      <w:r>
        <w:rPr>
          <w:b/>
          <w:bCs/>
        </w:rPr>
        <w:t>Art. 9 – DECORRENZA E DURATA</w:t>
      </w:r>
    </w:p>
    <w:p>
      <w:pPr>
        <w:pStyle w:val="Normal"/>
        <w:jc w:val="both"/>
        <w:rPr/>
      </w:pPr>
      <w:r>
        <w:rPr/>
        <w:t>Invariato: Il presente Atto è efficace dal momento della sua sottoscrizione da parte dei soggetti firmatari.</w:t>
      </w:r>
    </w:p>
    <w:p>
      <w:pPr>
        <w:pStyle w:val="Normal"/>
        <w:jc w:val="both"/>
        <w:rPr/>
      </w:pPr>
      <w:r>
        <w:rPr/>
        <w:t>La validità del presente Protocollo d'intesa decorrerà dall’avvenuta firma digitale delle Parti con efficacia fino alla completa realizzazione di tutte le condizioni in esso previste.</w:t>
      </w:r>
    </w:p>
    <w:p>
      <w:pPr>
        <w:pStyle w:val="Normal"/>
        <w:jc w:val="both"/>
        <w:rPr/>
      </w:pPr>
      <w:r>
        <w:rPr/>
        <w:t>E’ fatta salva la possibilità di eventuali modifiche al presente Protocollo d'intesa da concordarsi fra le Parti e formalizzare mediante atto sottoscritto.</w:t>
      </w:r>
    </w:p>
    <w:p>
      <w:pPr>
        <w:pStyle w:val="Normal"/>
        <w:jc w:val="both"/>
        <w:rPr/>
      </w:pPr>
      <w:r>
        <w:rPr/>
      </w:r>
    </w:p>
    <w:p>
      <w:pPr>
        <w:pStyle w:val="Normal"/>
        <w:keepNext w:val="true"/>
        <w:jc w:val="both"/>
        <w:rPr/>
      </w:pPr>
      <w:r>
        <w:rPr>
          <w:b/>
        </w:rPr>
        <w:t>Art. 10 – ALLEGATI</w:t>
      </w:r>
    </w:p>
    <w:p>
      <w:pPr>
        <w:pStyle w:val="Normal"/>
        <w:jc w:val="both"/>
        <w:rPr/>
      </w:pPr>
      <w:r>
        <w:rPr/>
        <w:t xml:space="preserve">Costituiscono parte integrante e sostanziale del Protocollo d’intesa, </w:t>
      </w:r>
      <w:r>
        <w:rPr/>
        <w:t>non allegati al presente atto integrativo, in quanto non oggetto di integrazione</w:t>
      </w:r>
      <w:r>
        <w:rPr/>
        <w:t>:</w:t>
      </w:r>
    </w:p>
    <w:p>
      <w:pPr>
        <w:pStyle w:val="Normal"/>
        <w:ind w:left="1418" w:hanging="1418"/>
        <w:jc w:val="both"/>
        <w:rPr>
          <w:strike/>
        </w:rPr>
      </w:pPr>
      <w:r>
        <w:rPr>
          <w:strike/>
        </w:rPr>
        <w:t>Allegato 1:</w:t>
        <w:tab/>
        <w:t>REALIZZAZIONE DI INTERVENTI DI VIABILITÀ ALTERNATIVA DOVUTI ALLA SOPPRESSIONE DI PASSAGGI A LIVELLO SULLA LINEA FERROVIARIA REGIONALE NEL TERRITORIO COMUNALE documento di fattibilità delle alternative progettuali, approvato dal Comune di Reggio Emilia con Delibera di Giunta I.D. n. 56 del 26/03/2020</w:t>
      </w:r>
    </w:p>
    <w:p>
      <w:pPr>
        <w:pStyle w:val="Normal"/>
        <w:tabs>
          <w:tab w:val="clear" w:pos="720"/>
          <w:tab w:val="left" w:pos="1140" w:leader="none"/>
        </w:tabs>
        <w:ind w:left="1418" w:hanging="1418"/>
        <w:jc w:val="both"/>
        <w:rPr/>
      </w:pPr>
      <w:r>
        <w:rPr/>
        <w:t>Allegato 2:</w:t>
        <w:tab/>
        <w:tab/>
        <w:t>COMPLETAMENTO ED OTTIMIZZAZIONE DELL’ATTRAVERSAMENTO DELLA LINEA FERROVIARIA REGGIO EMILIA-GUASTALLA AL KM 22+501 CON  IL PROLUNGAMENTO DEL SOTTOPASSO PEDONALE DI ACCESSO AI BINARI DELLA LINEA FERROVIARIA NAZIONALE IN STAZIONE CENTRALE DI REGGIO EMILIA FINALIZZATO AL MIGLIORAMENTO DELL’ACCESSIBILITÀ ALLA STAZIONE FERROVIARIA REGIONALE FER DI REGGIO EMILIA studio di fattibilità, approvato dal Comune di Reggio Emilia con ______________ I.D. n. ___ del _________</w:t>
      </w:r>
    </w:p>
    <w:p>
      <w:pPr>
        <w:pStyle w:val="Normal"/>
        <w:jc w:val="both"/>
        <w:rPr>
          <w:rFonts w:cs="Arial"/>
        </w:rPr>
      </w:pPr>
      <w:r>
        <w:rPr>
          <w:rFonts w:cs="Arial"/>
        </w:rPr>
      </w:r>
    </w:p>
    <w:p>
      <w:pPr>
        <w:pStyle w:val="Normal"/>
        <w:jc w:val="both"/>
        <w:rPr/>
      </w:pPr>
      <w:r>
        <w:rPr>
          <w:rFonts w:cs="Arial"/>
        </w:rPr>
        <w:t>***********************************</w:t>
      </w:r>
    </w:p>
    <w:p>
      <w:pPr>
        <w:pStyle w:val="Normal"/>
        <w:jc w:val="both"/>
        <w:rPr/>
      </w:pPr>
      <w:r>
        <w:rPr>
          <w:rFonts w:cs="Arial"/>
        </w:rPr>
        <w:t>Letto, approvato e sottoscritto dalle parti.</w:t>
      </w:r>
    </w:p>
    <w:p>
      <w:pPr>
        <w:pStyle w:val="Normal"/>
        <w:jc w:val="both"/>
        <w:rPr/>
      </w:pPr>
      <w:r>
        <w:rPr>
          <w:rFonts w:cs="Arial"/>
        </w:rPr>
        <w:t>Per il COMUNE DI REGGIO EMILIA</w:t>
      </w:r>
    </w:p>
    <w:p>
      <w:pPr>
        <w:pStyle w:val="Normal"/>
        <w:jc w:val="both"/>
        <w:rPr/>
      </w:pPr>
      <w:r>
        <w:rPr>
          <w:rFonts w:cs="Arial"/>
        </w:rPr>
        <w:t>____________</w:t>
      </w:r>
    </w:p>
    <w:p>
      <w:pPr>
        <w:pStyle w:val="Normal"/>
        <w:jc w:val="both"/>
        <w:rPr/>
      </w:pPr>
      <w:r>
        <w:rPr>
          <w:rFonts w:cs="Arial"/>
        </w:rPr>
        <w:t>(</w:t>
      </w:r>
      <w:r>
        <w:rPr>
          <w:rFonts w:cs="Arial"/>
          <w:i/>
        </w:rPr>
        <w:t>firmato digitalmente</w:t>
      </w:r>
      <w:r>
        <w:rPr>
          <w:rFonts w:cs="Arial"/>
        </w:rPr>
        <w:t>)</w:t>
      </w:r>
    </w:p>
    <w:p>
      <w:pPr>
        <w:pStyle w:val="Normal"/>
        <w:jc w:val="both"/>
        <w:rPr/>
      </w:pPr>
      <w:r>
        <w:rPr>
          <w:rFonts w:cs="Arial"/>
        </w:rPr>
        <w:t>Per FER- FERROVIE EMILIA-ROMAGNA S.R.L.</w:t>
      </w:r>
    </w:p>
    <w:p>
      <w:pPr>
        <w:pStyle w:val="Normal"/>
        <w:jc w:val="both"/>
        <w:rPr/>
      </w:pPr>
      <w:r>
        <w:rPr>
          <w:rFonts w:cs="Arial"/>
        </w:rPr>
        <w:t>____________</w:t>
      </w:r>
    </w:p>
    <w:p>
      <w:pPr>
        <w:pStyle w:val="Normal"/>
        <w:jc w:val="both"/>
        <w:rPr/>
      </w:pPr>
      <w:r>
        <w:rPr>
          <w:rFonts w:cs="Arial"/>
        </w:rPr>
        <w:t>(</w:t>
      </w:r>
      <w:r>
        <w:rPr>
          <w:rFonts w:cs="Arial"/>
          <w:i/>
        </w:rPr>
        <w:t>firmato digitalmente</w:t>
      </w:r>
      <w:r>
        <w:rPr>
          <w:rFonts w:cs="Arial"/>
        </w:rPr>
        <w:t>)</w:t>
      </w:r>
    </w:p>
    <w:p>
      <w:pPr>
        <w:pStyle w:val="Normal"/>
        <w:jc w:val="both"/>
        <w:rPr/>
      </w:pPr>
      <w:r>
        <w:rPr>
          <w:rFonts w:cs="Arial"/>
        </w:rPr>
        <w:t>Per la REGIONE EMILIA-ROMAGNA</w:t>
      </w:r>
    </w:p>
    <w:p>
      <w:pPr>
        <w:pStyle w:val="Normal"/>
        <w:jc w:val="both"/>
        <w:rPr/>
      </w:pPr>
      <w:r>
        <w:rPr>
          <w:rFonts w:cs="Arial"/>
        </w:rPr>
        <w:t>____________</w:t>
      </w:r>
    </w:p>
    <w:p>
      <w:pPr>
        <w:pStyle w:val="Normal"/>
        <w:spacing w:before="0" w:after="160"/>
        <w:jc w:val="both"/>
        <w:rPr/>
      </w:pPr>
      <w:r>
        <w:rPr>
          <w:rFonts w:cs="Arial"/>
        </w:rPr>
        <w:t>(</w:t>
      </w:r>
      <w:r>
        <w:rPr>
          <w:rFonts w:cs="Arial"/>
          <w:i/>
        </w:rPr>
        <w:t>firmato digitalmente</w:t>
      </w:r>
      <w:r>
        <w:rPr>
          <w:rFonts w:cs="Arial"/>
        </w:rPr>
        <w:t>)</w:t>
      </w:r>
    </w:p>
    <w:sectPr>
      <w:headerReference w:type="default" r:id="rId2"/>
      <w:footerReference w:type="default" r:id="rId3"/>
      <w:type w:val="nextPage"/>
      <w:pgSz w:w="11906" w:h="16838"/>
      <w:pgMar w:left="1134" w:right="1134" w:gutter="0" w:header="708" w:top="1417" w:footer="708"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1"/>
    <w:family w:val="swiss"/>
    <w:pitch w:val="default"/>
  </w:font>
  <w:font w:name="Segoe UI">
    <w:charset w:val="01"/>
    <w:family w:val="swiss"/>
    <w:pitch w:val="default"/>
  </w:font>
  <w:font w:name="OpenSymbol">
    <w:altName w:val="Arial Unicode MS"/>
    <w:charset w:val="01"/>
    <w:family w:val="swiss"/>
    <w:pitch w:val="default"/>
  </w:font>
  <w:font w:name="Trebuchet MS">
    <w:charset w:val="01"/>
    <w:family w:val="swiss"/>
    <w:pitch w:val="default"/>
  </w:font>
  <w:font w:name="CIDFont+F1">
    <w:charset w:val="01"/>
    <w:family w:val="swiss"/>
    <w:pitch w:val="default"/>
  </w:font>
  <w:font w:name="Courier New">
    <w:charset w:val="01"/>
    <w:family w:val="modern"/>
    <w:pitch w:val="fixed"/>
  </w:font>
  <w:font w:name="Wingdings">
    <w:charset w:val="02"/>
    <w:family w:val="auto"/>
    <w:pitch w:val="variable"/>
  </w:font>
  <w:font w:name="Times New Roman">
    <w:charset w:val="01"/>
    <w:family w:val="roman"/>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056090724"/>
    </w:sdtPr>
    <w:sdtContent>
      <w:p>
        <w:pPr>
          <w:pStyle w:val="Pidipagina"/>
          <w:jc w:val="right"/>
          <w:rPr/>
        </w:pPr>
        <w:r>
          <w:rPr/>
          <w:fldChar w:fldCharType="begin"/>
        </w:r>
        <w:r>
          <w:rPr/>
          <w:instrText> PAGE </w:instrText>
        </w:r>
        <w:r>
          <w:rPr/>
          <w:fldChar w:fldCharType="separate"/>
        </w:r>
        <w:r>
          <w:rPr/>
          <w:t>10</w:t>
        </w:r>
        <w:r>
          <w:rPr/>
          <w:fldChar w:fldCharType="end"/>
        </w:r>
      </w:p>
    </w:sdtContent>
  </w:sdt>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Intestazione"/>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720"/>
        </w:tabs>
        <w:ind w:left="720" w:hanging="360"/>
      </w:pPr>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lvl w:ilvl="0">
      <w:start w:val="1"/>
      <w:numFmt w:val="lowerLetter"/>
      <w:lvlText w:val="%1)"/>
      <w:lvlJc w:val="left"/>
      <w:pPr>
        <w:tabs>
          <w:tab w:val="num" w:pos="0"/>
        </w:tabs>
        <w:ind w:left="1068" w:hanging="360"/>
      </w:p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3">
    <w:lvl w:ilvl="0">
      <w:start w:val="1"/>
      <w:numFmt w:val="bullet"/>
      <w:lvlText w:val=""/>
      <w:lvlJc w:val="left"/>
      <w:pPr>
        <w:tabs>
          <w:tab w:val="num" w:pos="0"/>
        </w:tabs>
        <w:ind w:left="720" w:hanging="360"/>
      </w:pPr>
      <w:rPr>
        <w:rFonts w:ascii="Symbol" w:hAnsi="Symbol" w:cs="Symbol" w:hint="default"/>
      </w:rPr>
    </w:lvl>
    <w:lvl w:ilvl="1">
      <w:start w:val="1"/>
      <w:numFmt w:val="bullet"/>
      <w:lvlText w:val="-"/>
      <w:lvlJc w:val="left"/>
      <w:pPr>
        <w:tabs>
          <w:tab w:val="num" w:pos="0"/>
        </w:tabs>
        <w:ind w:left="1440" w:hanging="360"/>
      </w:pPr>
      <w:rPr>
        <w:rFonts w:ascii="Times New Roman" w:hAnsi="Times New Roman" w:cs="Times New Roman"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decimal"/>
      <w:lvlText w:val="%1."/>
      <w:lvlJc w:val="left"/>
      <w:pPr>
        <w:tabs>
          <w:tab w:val="num" w:pos="68"/>
        </w:tabs>
        <w:ind w:left="68" w:hanging="360"/>
      </w:pPr>
    </w:lvl>
    <w:lvl w:ilvl="1">
      <w:start w:val="1"/>
      <w:numFmt w:val="decimal"/>
      <w:lvlText w:val="%2."/>
      <w:lvlJc w:val="left"/>
      <w:pPr>
        <w:tabs>
          <w:tab w:val="num" w:pos="428"/>
        </w:tabs>
        <w:ind w:left="428" w:hanging="360"/>
      </w:pPr>
    </w:lvl>
    <w:lvl w:ilvl="2">
      <w:start w:val="1"/>
      <w:numFmt w:val="decimal"/>
      <w:lvlText w:val="%3."/>
      <w:lvlJc w:val="left"/>
      <w:pPr>
        <w:tabs>
          <w:tab w:val="num" w:pos="788"/>
        </w:tabs>
        <w:ind w:left="788" w:hanging="360"/>
      </w:pPr>
    </w:lvl>
    <w:lvl w:ilvl="3">
      <w:start w:val="1"/>
      <w:numFmt w:val="decimal"/>
      <w:lvlText w:val="%4."/>
      <w:lvlJc w:val="left"/>
      <w:pPr>
        <w:tabs>
          <w:tab w:val="num" w:pos="1148"/>
        </w:tabs>
        <w:ind w:left="1148" w:hanging="360"/>
      </w:pPr>
    </w:lvl>
    <w:lvl w:ilvl="4">
      <w:start w:val="1"/>
      <w:numFmt w:val="decimal"/>
      <w:lvlText w:val="%5."/>
      <w:lvlJc w:val="left"/>
      <w:pPr>
        <w:tabs>
          <w:tab w:val="num" w:pos="1508"/>
        </w:tabs>
        <w:ind w:left="1508" w:hanging="360"/>
      </w:pPr>
    </w:lvl>
    <w:lvl w:ilvl="5">
      <w:start w:val="1"/>
      <w:numFmt w:val="decimal"/>
      <w:lvlText w:val="%6."/>
      <w:lvlJc w:val="left"/>
      <w:pPr>
        <w:tabs>
          <w:tab w:val="num" w:pos="1868"/>
        </w:tabs>
        <w:ind w:left="1868" w:hanging="360"/>
      </w:pPr>
    </w:lvl>
    <w:lvl w:ilvl="6">
      <w:start w:val="1"/>
      <w:numFmt w:val="decimal"/>
      <w:lvlText w:val="%7."/>
      <w:lvlJc w:val="left"/>
      <w:pPr>
        <w:tabs>
          <w:tab w:val="num" w:pos="2228"/>
        </w:tabs>
        <w:ind w:left="2228" w:hanging="360"/>
      </w:pPr>
    </w:lvl>
    <w:lvl w:ilvl="7">
      <w:start w:val="1"/>
      <w:numFmt w:val="decimal"/>
      <w:lvlText w:val="%8."/>
      <w:lvlJc w:val="left"/>
      <w:pPr>
        <w:tabs>
          <w:tab w:val="num" w:pos="2588"/>
        </w:tabs>
        <w:ind w:left="2588" w:hanging="360"/>
      </w:pPr>
    </w:lvl>
    <w:lvl w:ilvl="8">
      <w:start w:val="1"/>
      <w:numFmt w:val="decimal"/>
      <w:lvlText w:val="%9."/>
      <w:lvlJc w:val="left"/>
      <w:pPr>
        <w:tabs>
          <w:tab w:val="num" w:pos="2948"/>
        </w:tabs>
        <w:ind w:left="2948" w:hanging="360"/>
      </w:pPr>
    </w:lvl>
  </w:abstractNum>
  <w:abstractNum w:abstractNumId="5">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6">
    <w:lvl w:ilvl="0">
      <w:start w:val="1"/>
      <w:numFmt w:val="decimal"/>
      <w:lvlText w:val="%1."/>
      <w:lvlJc w:val="left"/>
      <w:pPr>
        <w:tabs>
          <w:tab w:val="num" w:pos="968"/>
        </w:tabs>
        <w:ind w:left="968" w:hanging="360"/>
      </w:pPr>
    </w:lvl>
    <w:lvl w:ilvl="1">
      <w:start w:val="1"/>
      <w:numFmt w:val="decimal"/>
      <w:lvlText w:val="%1.%2."/>
      <w:lvlJc w:val="left"/>
      <w:pPr>
        <w:tabs>
          <w:tab w:val="num" w:pos="1328"/>
        </w:tabs>
        <w:ind w:left="1328" w:hanging="360"/>
      </w:pPr>
    </w:lvl>
    <w:lvl w:ilvl="2">
      <w:start w:val="1"/>
      <w:numFmt w:val="lowerLetter"/>
      <w:lvlText w:val="%1.%2.%3)"/>
      <w:lvlJc w:val="left"/>
      <w:pPr>
        <w:tabs>
          <w:tab w:val="num" w:pos="1688"/>
        </w:tabs>
        <w:ind w:left="1688" w:hanging="360"/>
      </w:pPr>
    </w:lvl>
    <w:lvl w:ilvl="3">
      <w:start w:val="1"/>
      <w:numFmt w:val="decimal"/>
      <w:lvlText w:val="%4."/>
      <w:lvlJc w:val="left"/>
      <w:pPr>
        <w:tabs>
          <w:tab w:val="num" w:pos="2048"/>
        </w:tabs>
        <w:ind w:left="2048" w:hanging="360"/>
      </w:pPr>
    </w:lvl>
    <w:lvl w:ilvl="4">
      <w:start w:val="1"/>
      <w:numFmt w:val="decimal"/>
      <w:lvlText w:val="%5."/>
      <w:lvlJc w:val="left"/>
      <w:pPr>
        <w:tabs>
          <w:tab w:val="num" w:pos="2408"/>
        </w:tabs>
        <w:ind w:left="2408" w:hanging="360"/>
      </w:pPr>
    </w:lvl>
    <w:lvl w:ilvl="5">
      <w:start w:val="1"/>
      <w:numFmt w:val="decimal"/>
      <w:lvlText w:val="%6."/>
      <w:lvlJc w:val="left"/>
      <w:pPr>
        <w:tabs>
          <w:tab w:val="num" w:pos="2768"/>
        </w:tabs>
        <w:ind w:left="2768" w:hanging="360"/>
      </w:pPr>
    </w:lvl>
    <w:lvl w:ilvl="6">
      <w:start w:val="1"/>
      <w:numFmt w:val="decimal"/>
      <w:lvlText w:val="%7."/>
      <w:lvlJc w:val="left"/>
      <w:pPr>
        <w:tabs>
          <w:tab w:val="num" w:pos="3128"/>
        </w:tabs>
        <w:ind w:left="3128" w:hanging="360"/>
      </w:pPr>
    </w:lvl>
    <w:lvl w:ilvl="7">
      <w:start w:val="1"/>
      <w:numFmt w:val="decimal"/>
      <w:lvlText w:val="%8."/>
      <w:lvlJc w:val="left"/>
      <w:pPr>
        <w:tabs>
          <w:tab w:val="num" w:pos="3488"/>
        </w:tabs>
        <w:ind w:left="3488" w:hanging="360"/>
      </w:pPr>
    </w:lvl>
    <w:lvl w:ilvl="8">
      <w:start w:val="1"/>
      <w:numFmt w:val="decimal"/>
      <w:lvlText w:val="%9."/>
      <w:lvlJc w:val="left"/>
      <w:pPr>
        <w:tabs>
          <w:tab w:val="num" w:pos="3848"/>
        </w:tabs>
        <w:ind w:left="3848" w:hanging="360"/>
      </w:pPr>
    </w:lvl>
  </w:abstractNum>
  <w:abstractNum w:abstractNumId="7">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lvl w:ilvl="0">
      <w:start w:val="2"/>
      <w:numFmt w:val="decimal"/>
      <w:lvlText w:val="%1."/>
      <w:lvlJc w:val="left"/>
      <w:pPr>
        <w:tabs>
          <w:tab w:val="num" w:pos="1060"/>
        </w:tabs>
        <w:ind w:left="1060" w:hanging="360"/>
      </w:pPr>
    </w:lvl>
    <w:lvl w:ilvl="1">
      <w:start w:val="1"/>
      <w:numFmt w:val="decimal"/>
      <w:lvlText w:val="%2."/>
      <w:lvlJc w:val="left"/>
      <w:pPr>
        <w:tabs>
          <w:tab w:val="num" w:pos="1420"/>
        </w:tabs>
        <w:ind w:left="1420" w:hanging="360"/>
      </w:pPr>
    </w:lvl>
    <w:lvl w:ilvl="2">
      <w:start w:val="1"/>
      <w:numFmt w:val="decimal"/>
      <w:lvlText w:val="%3."/>
      <w:lvlJc w:val="left"/>
      <w:pPr>
        <w:tabs>
          <w:tab w:val="num" w:pos="1780"/>
        </w:tabs>
        <w:ind w:left="1780" w:hanging="360"/>
      </w:pPr>
    </w:lvl>
    <w:lvl w:ilvl="3">
      <w:start w:val="1"/>
      <w:numFmt w:val="decimal"/>
      <w:lvlText w:val="%4."/>
      <w:lvlJc w:val="left"/>
      <w:pPr>
        <w:tabs>
          <w:tab w:val="num" w:pos="2140"/>
        </w:tabs>
        <w:ind w:left="2140" w:hanging="360"/>
      </w:pPr>
    </w:lvl>
    <w:lvl w:ilvl="4">
      <w:start w:val="1"/>
      <w:numFmt w:val="decimal"/>
      <w:lvlText w:val="%5."/>
      <w:lvlJc w:val="left"/>
      <w:pPr>
        <w:tabs>
          <w:tab w:val="num" w:pos="2500"/>
        </w:tabs>
        <w:ind w:left="2500" w:hanging="360"/>
      </w:pPr>
    </w:lvl>
    <w:lvl w:ilvl="5">
      <w:start w:val="1"/>
      <w:numFmt w:val="decimal"/>
      <w:lvlText w:val="%6."/>
      <w:lvlJc w:val="left"/>
      <w:pPr>
        <w:tabs>
          <w:tab w:val="num" w:pos="2860"/>
        </w:tabs>
        <w:ind w:left="2860" w:hanging="360"/>
      </w:pPr>
    </w:lvl>
    <w:lvl w:ilvl="6">
      <w:start w:val="1"/>
      <w:numFmt w:val="decimal"/>
      <w:lvlText w:val="%7."/>
      <w:lvlJc w:val="left"/>
      <w:pPr>
        <w:tabs>
          <w:tab w:val="num" w:pos="3220"/>
        </w:tabs>
        <w:ind w:left="3220" w:hanging="360"/>
      </w:pPr>
    </w:lvl>
    <w:lvl w:ilvl="7">
      <w:start w:val="1"/>
      <w:numFmt w:val="decimal"/>
      <w:lvlText w:val="%8."/>
      <w:lvlJc w:val="left"/>
      <w:pPr>
        <w:tabs>
          <w:tab w:val="num" w:pos="3580"/>
        </w:tabs>
        <w:ind w:left="3580" w:hanging="360"/>
      </w:pPr>
    </w:lvl>
    <w:lvl w:ilvl="8">
      <w:start w:val="1"/>
      <w:numFmt w:val="decimal"/>
      <w:lvlText w:val="%9."/>
      <w:lvlJc w:val="left"/>
      <w:pPr>
        <w:tabs>
          <w:tab w:val="num" w:pos="3940"/>
        </w:tabs>
        <w:ind w:left="3940" w:hanging="360"/>
      </w:pPr>
    </w:lvl>
  </w:abstractNum>
  <w:abstractNum w:abstractNumId="9">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0">
    <w:lvl w:ilvl="0">
      <w:start w:val="1"/>
      <w:numFmt w:val="decimal"/>
      <w:lvlText w:val="%1.bis."/>
      <w:lvlJc w:val="left"/>
      <w:pPr>
        <w:tabs>
          <w:tab w:val="num" w:pos="1080"/>
        </w:tabs>
        <w:ind w:left="1080" w:hanging="360"/>
      </w:pPr>
    </w:lvl>
    <w:lvl w:ilvl="1">
      <w:start w:val="1"/>
      <w:numFmt w:val="decimal"/>
      <w:lvlText w:val="%1.%2.bis."/>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11">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3">
    <w:lvl w:ilvl="0">
      <w:start w:val="1"/>
      <w:numFmt w:val="bullet"/>
      <w:lvlText w:val=""/>
      <w:lvlJc w:val="left"/>
      <w:pPr>
        <w:tabs>
          <w:tab w:val="num" w:pos="1060"/>
        </w:tabs>
        <w:ind w:left="1060" w:hanging="360"/>
      </w:pPr>
      <w:rPr>
        <w:rFonts w:ascii="Symbol" w:hAnsi="Symbol" w:cs="Symbol" w:hint="default"/>
      </w:rPr>
    </w:lvl>
    <w:lvl w:ilvl="1">
      <w:start w:val="1"/>
      <w:numFmt w:val="bullet"/>
      <w:lvlText w:val="◦"/>
      <w:lvlJc w:val="left"/>
      <w:pPr>
        <w:tabs>
          <w:tab w:val="num" w:pos="1420"/>
        </w:tabs>
        <w:ind w:left="1420" w:hanging="360"/>
      </w:pPr>
      <w:rPr>
        <w:rFonts w:ascii="OpenSymbol" w:hAnsi="OpenSymbol" w:cs="OpenSymbol" w:hint="default"/>
      </w:rPr>
    </w:lvl>
    <w:lvl w:ilvl="2">
      <w:start w:val="1"/>
      <w:numFmt w:val="bullet"/>
      <w:lvlText w:val="▪"/>
      <w:lvlJc w:val="left"/>
      <w:pPr>
        <w:tabs>
          <w:tab w:val="num" w:pos="1780"/>
        </w:tabs>
        <w:ind w:left="1780" w:hanging="360"/>
      </w:pPr>
      <w:rPr>
        <w:rFonts w:ascii="OpenSymbol" w:hAnsi="OpenSymbol" w:cs="OpenSymbol" w:hint="default"/>
      </w:rPr>
    </w:lvl>
    <w:lvl w:ilvl="3">
      <w:start w:val="1"/>
      <w:numFmt w:val="bullet"/>
      <w:lvlText w:val=""/>
      <w:lvlJc w:val="left"/>
      <w:pPr>
        <w:tabs>
          <w:tab w:val="num" w:pos="2140"/>
        </w:tabs>
        <w:ind w:left="2140" w:hanging="360"/>
      </w:pPr>
      <w:rPr>
        <w:rFonts w:ascii="Symbol" w:hAnsi="Symbol" w:cs="Symbol" w:hint="default"/>
      </w:rPr>
    </w:lvl>
    <w:lvl w:ilvl="4">
      <w:start w:val="1"/>
      <w:numFmt w:val="bullet"/>
      <w:lvlText w:val="◦"/>
      <w:lvlJc w:val="left"/>
      <w:pPr>
        <w:tabs>
          <w:tab w:val="num" w:pos="2500"/>
        </w:tabs>
        <w:ind w:left="2500" w:hanging="360"/>
      </w:pPr>
      <w:rPr>
        <w:rFonts w:ascii="OpenSymbol" w:hAnsi="OpenSymbol" w:cs="OpenSymbol" w:hint="default"/>
      </w:rPr>
    </w:lvl>
    <w:lvl w:ilvl="5">
      <w:start w:val="1"/>
      <w:numFmt w:val="bullet"/>
      <w:lvlText w:val="▪"/>
      <w:lvlJc w:val="left"/>
      <w:pPr>
        <w:tabs>
          <w:tab w:val="num" w:pos="2860"/>
        </w:tabs>
        <w:ind w:left="2860" w:hanging="360"/>
      </w:pPr>
      <w:rPr>
        <w:rFonts w:ascii="OpenSymbol" w:hAnsi="OpenSymbol" w:cs="OpenSymbol" w:hint="default"/>
      </w:rPr>
    </w:lvl>
    <w:lvl w:ilvl="6">
      <w:start w:val="1"/>
      <w:numFmt w:val="bullet"/>
      <w:lvlText w:val=""/>
      <w:lvlJc w:val="left"/>
      <w:pPr>
        <w:tabs>
          <w:tab w:val="num" w:pos="3220"/>
        </w:tabs>
        <w:ind w:left="3220" w:hanging="360"/>
      </w:pPr>
      <w:rPr>
        <w:rFonts w:ascii="Symbol" w:hAnsi="Symbol" w:cs="Symbol" w:hint="default"/>
      </w:rPr>
    </w:lvl>
    <w:lvl w:ilvl="7">
      <w:start w:val="1"/>
      <w:numFmt w:val="bullet"/>
      <w:lvlText w:val="◦"/>
      <w:lvlJc w:val="left"/>
      <w:pPr>
        <w:tabs>
          <w:tab w:val="num" w:pos="3580"/>
        </w:tabs>
        <w:ind w:left="3580" w:hanging="360"/>
      </w:pPr>
      <w:rPr>
        <w:rFonts w:ascii="OpenSymbol" w:hAnsi="OpenSymbol" w:cs="OpenSymbol" w:hint="default"/>
      </w:rPr>
    </w:lvl>
    <w:lvl w:ilvl="8">
      <w:start w:val="1"/>
      <w:numFmt w:val="bullet"/>
      <w:lvlText w:val="▪"/>
      <w:lvlJc w:val="left"/>
      <w:pPr>
        <w:tabs>
          <w:tab w:val="num" w:pos="3940"/>
        </w:tabs>
        <w:ind w:left="3940" w:hanging="360"/>
      </w:pPr>
      <w:rPr>
        <w:rFonts w:ascii="OpenSymbol" w:hAnsi="OpenSymbol" w:cs="OpenSymbol" w:hint="default"/>
      </w:rPr>
    </w:lvl>
  </w:abstractNum>
  <w:abstractNum w:abstractNumId="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lvl w:ilvl="0">
      <w:start w:val="1"/>
      <w:numFmt w:val="bullet"/>
      <w:lvlText w:val=""/>
      <w:lvlJc w:val="left"/>
      <w:pPr>
        <w:tabs>
          <w:tab w:val="num" w:pos="1457"/>
        </w:tabs>
        <w:ind w:left="1457" w:hanging="360"/>
      </w:pPr>
      <w:rPr>
        <w:rFonts w:ascii="Symbol" w:hAnsi="Symbol" w:cs="Symbol" w:hint="default"/>
        <w:b/>
      </w:rPr>
    </w:lvl>
    <w:lvl w:ilvl="1">
      <w:start w:val="1"/>
      <w:numFmt w:val="bullet"/>
      <w:lvlText w:val="◦"/>
      <w:lvlJc w:val="left"/>
      <w:pPr>
        <w:tabs>
          <w:tab w:val="num" w:pos="1817"/>
        </w:tabs>
        <w:ind w:left="1817" w:hanging="360"/>
      </w:pPr>
      <w:rPr>
        <w:rFonts w:ascii="OpenSymbol" w:hAnsi="OpenSymbol" w:cs="OpenSymbol" w:hint="default"/>
      </w:rPr>
    </w:lvl>
    <w:lvl w:ilvl="2">
      <w:start w:val="1"/>
      <w:numFmt w:val="bullet"/>
      <w:lvlText w:val="▪"/>
      <w:lvlJc w:val="left"/>
      <w:pPr>
        <w:tabs>
          <w:tab w:val="num" w:pos="2177"/>
        </w:tabs>
        <w:ind w:left="2177" w:hanging="360"/>
      </w:pPr>
      <w:rPr>
        <w:rFonts w:ascii="OpenSymbol" w:hAnsi="OpenSymbol" w:cs="OpenSymbol" w:hint="default"/>
      </w:rPr>
    </w:lvl>
    <w:lvl w:ilvl="3">
      <w:start w:val="1"/>
      <w:numFmt w:val="bullet"/>
      <w:lvlText w:val=""/>
      <w:lvlJc w:val="left"/>
      <w:pPr>
        <w:tabs>
          <w:tab w:val="num" w:pos="2537"/>
        </w:tabs>
        <w:ind w:left="2537" w:hanging="360"/>
      </w:pPr>
      <w:rPr>
        <w:rFonts w:ascii="Symbol" w:hAnsi="Symbol" w:cs="Symbol" w:hint="default"/>
      </w:rPr>
    </w:lvl>
    <w:lvl w:ilvl="4">
      <w:start w:val="1"/>
      <w:numFmt w:val="bullet"/>
      <w:lvlText w:val="◦"/>
      <w:lvlJc w:val="left"/>
      <w:pPr>
        <w:tabs>
          <w:tab w:val="num" w:pos="2897"/>
        </w:tabs>
        <w:ind w:left="2897" w:hanging="360"/>
      </w:pPr>
      <w:rPr>
        <w:rFonts w:ascii="OpenSymbol" w:hAnsi="OpenSymbol" w:cs="OpenSymbol" w:hint="default"/>
      </w:rPr>
    </w:lvl>
    <w:lvl w:ilvl="5">
      <w:start w:val="1"/>
      <w:numFmt w:val="bullet"/>
      <w:lvlText w:val="▪"/>
      <w:lvlJc w:val="left"/>
      <w:pPr>
        <w:tabs>
          <w:tab w:val="num" w:pos="3257"/>
        </w:tabs>
        <w:ind w:left="3257" w:hanging="360"/>
      </w:pPr>
      <w:rPr>
        <w:rFonts w:ascii="OpenSymbol" w:hAnsi="OpenSymbol" w:cs="OpenSymbol" w:hint="default"/>
      </w:rPr>
    </w:lvl>
    <w:lvl w:ilvl="6">
      <w:start w:val="1"/>
      <w:numFmt w:val="bullet"/>
      <w:lvlText w:val=""/>
      <w:lvlJc w:val="left"/>
      <w:pPr>
        <w:tabs>
          <w:tab w:val="num" w:pos="3617"/>
        </w:tabs>
        <w:ind w:left="3617" w:hanging="360"/>
      </w:pPr>
      <w:rPr>
        <w:rFonts w:ascii="Symbol" w:hAnsi="Symbol" w:cs="Symbol" w:hint="default"/>
      </w:rPr>
    </w:lvl>
    <w:lvl w:ilvl="7">
      <w:start w:val="1"/>
      <w:numFmt w:val="bullet"/>
      <w:lvlText w:val="◦"/>
      <w:lvlJc w:val="left"/>
      <w:pPr>
        <w:tabs>
          <w:tab w:val="num" w:pos="3977"/>
        </w:tabs>
        <w:ind w:left="3977" w:hanging="360"/>
      </w:pPr>
      <w:rPr>
        <w:rFonts w:ascii="OpenSymbol" w:hAnsi="OpenSymbol" w:cs="OpenSymbol" w:hint="default"/>
      </w:rPr>
    </w:lvl>
    <w:lvl w:ilvl="8">
      <w:start w:val="1"/>
      <w:numFmt w:val="bullet"/>
      <w:lvlText w:val="▪"/>
      <w:lvlJc w:val="left"/>
      <w:pPr>
        <w:tabs>
          <w:tab w:val="num" w:pos="4337"/>
        </w:tabs>
        <w:ind w:left="4337" w:hanging="360"/>
      </w:pPr>
      <w:rPr>
        <w:rFonts w:ascii="OpenSymbol" w:hAnsi="OpenSymbol" w:cs="OpenSymbol" w:hint="default"/>
      </w:rPr>
    </w:lvl>
  </w:abstractNum>
  <w:abstractNum w:abstractNumId="16">
    <w:lvl w:ilvl="0">
      <w:start w:val="1"/>
      <w:numFmt w:val="lowerLetter"/>
      <w:lvlText w:val="%1)"/>
      <w:lvlJc w:val="left"/>
      <w:pPr>
        <w:tabs>
          <w:tab w:val="num" w:pos="1457"/>
        </w:tabs>
        <w:ind w:left="1457" w:hanging="360"/>
      </w:pPr>
    </w:lvl>
    <w:lvl w:ilvl="1">
      <w:start w:val="1"/>
      <w:numFmt w:val="bullet"/>
      <w:lvlText w:val="◦"/>
      <w:lvlJc w:val="left"/>
      <w:pPr>
        <w:tabs>
          <w:tab w:val="num" w:pos="1817"/>
        </w:tabs>
        <w:ind w:left="1817" w:hanging="360"/>
      </w:pPr>
      <w:rPr>
        <w:rFonts w:ascii="OpenSymbol" w:hAnsi="OpenSymbol" w:cs="OpenSymbol" w:hint="default"/>
      </w:rPr>
    </w:lvl>
    <w:lvl w:ilvl="2">
      <w:start w:val="1"/>
      <w:numFmt w:val="bullet"/>
      <w:lvlText w:val="▪"/>
      <w:lvlJc w:val="left"/>
      <w:pPr>
        <w:tabs>
          <w:tab w:val="num" w:pos="2177"/>
        </w:tabs>
        <w:ind w:left="2177" w:hanging="360"/>
      </w:pPr>
      <w:rPr>
        <w:rFonts w:ascii="OpenSymbol" w:hAnsi="OpenSymbol" w:cs="OpenSymbol" w:hint="default"/>
      </w:rPr>
    </w:lvl>
    <w:lvl w:ilvl="3">
      <w:start w:val="1"/>
      <w:numFmt w:val="bullet"/>
      <w:lvlText w:val=""/>
      <w:lvlJc w:val="left"/>
      <w:pPr>
        <w:tabs>
          <w:tab w:val="num" w:pos="2537"/>
        </w:tabs>
        <w:ind w:left="2537" w:hanging="360"/>
      </w:pPr>
      <w:rPr>
        <w:rFonts w:ascii="Symbol" w:hAnsi="Symbol" w:cs="Symbol" w:hint="default"/>
      </w:rPr>
    </w:lvl>
    <w:lvl w:ilvl="4">
      <w:start w:val="1"/>
      <w:numFmt w:val="bullet"/>
      <w:lvlText w:val="◦"/>
      <w:lvlJc w:val="left"/>
      <w:pPr>
        <w:tabs>
          <w:tab w:val="num" w:pos="2897"/>
        </w:tabs>
        <w:ind w:left="2897" w:hanging="360"/>
      </w:pPr>
      <w:rPr>
        <w:rFonts w:ascii="OpenSymbol" w:hAnsi="OpenSymbol" w:cs="OpenSymbol" w:hint="default"/>
      </w:rPr>
    </w:lvl>
    <w:lvl w:ilvl="5">
      <w:start w:val="1"/>
      <w:numFmt w:val="bullet"/>
      <w:lvlText w:val="▪"/>
      <w:lvlJc w:val="left"/>
      <w:pPr>
        <w:tabs>
          <w:tab w:val="num" w:pos="3257"/>
        </w:tabs>
        <w:ind w:left="3257" w:hanging="360"/>
      </w:pPr>
      <w:rPr>
        <w:rFonts w:ascii="OpenSymbol" w:hAnsi="OpenSymbol" w:cs="OpenSymbol" w:hint="default"/>
      </w:rPr>
    </w:lvl>
    <w:lvl w:ilvl="6">
      <w:start w:val="1"/>
      <w:numFmt w:val="bullet"/>
      <w:lvlText w:val=""/>
      <w:lvlJc w:val="left"/>
      <w:pPr>
        <w:tabs>
          <w:tab w:val="num" w:pos="3617"/>
        </w:tabs>
        <w:ind w:left="3617" w:hanging="360"/>
      </w:pPr>
      <w:rPr>
        <w:rFonts w:ascii="Symbol" w:hAnsi="Symbol" w:cs="Symbol" w:hint="default"/>
      </w:rPr>
    </w:lvl>
    <w:lvl w:ilvl="7">
      <w:start w:val="1"/>
      <w:numFmt w:val="bullet"/>
      <w:lvlText w:val="◦"/>
      <w:lvlJc w:val="left"/>
      <w:pPr>
        <w:tabs>
          <w:tab w:val="num" w:pos="3977"/>
        </w:tabs>
        <w:ind w:left="3977" w:hanging="360"/>
      </w:pPr>
      <w:rPr>
        <w:rFonts w:ascii="OpenSymbol" w:hAnsi="OpenSymbol" w:cs="OpenSymbol" w:hint="default"/>
      </w:rPr>
    </w:lvl>
    <w:lvl w:ilvl="8">
      <w:start w:val="1"/>
      <w:numFmt w:val="bullet"/>
      <w:lvlText w:val="▪"/>
      <w:lvlJc w:val="left"/>
      <w:pPr>
        <w:tabs>
          <w:tab w:val="num" w:pos="4337"/>
        </w:tabs>
        <w:ind w:left="4337" w:hanging="360"/>
      </w:pPr>
      <w:rPr>
        <w:rFonts w:ascii="OpenSymbol" w:hAnsi="OpenSymbol" w:cs="OpenSymbol" w:hint="default"/>
      </w:rPr>
    </w:lvl>
  </w:abstractNum>
  <w:abstractNum w:abstractNumId="17">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8">
    <w:lvl w:ilvl="0">
      <w:start w:val="1"/>
      <w:numFmt w:val="decimal"/>
      <w:lvlText w:val="%1."/>
      <w:lvlJc w:val="left"/>
      <w:pPr>
        <w:tabs>
          <w:tab w:val="num" w:pos="1440"/>
        </w:tabs>
        <w:ind w:left="1440" w:hanging="360"/>
      </w:pPr>
      <w:rPr/>
    </w:lvl>
    <w:lvl w:ilvl="1">
      <w:start w:val="1"/>
      <w:numFmt w:val="decimal"/>
      <w:lvlText w:val="%2."/>
      <w:lvlJc w:val="left"/>
      <w:pPr>
        <w:tabs>
          <w:tab w:val="num" w:pos="1800"/>
        </w:tabs>
        <w:ind w:left="180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520"/>
        </w:tabs>
        <w:ind w:left="2520" w:hanging="360"/>
      </w:pPr>
      <w:rPr/>
    </w:lvl>
    <w:lvl w:ilvl="4">
      <w:start w:val="1"/>
      <w:numFmt w:val="decimal"/>
      <w:lvlText w:val="%5."/>
      <w:lvlJc w:val="left"/>
      <w:pPr>
        <w:tabs>
          <w:tab w:val="num" w:pos="2880"/>
        </w:tabs>
        <w:ind w:left="2880" w:hanging="360"/>
      </w:pPr>
      <w:rPr/>
    </w:lvl>
    <w:lvl w:ilvl="5">
      <w:start w:val="1"/>
      <w:numFmt w:val="decimal"/>
      <w:lvlText w:val="%6."/>
      <w:lvlJc w:val="left"/>
      <w:pPr>
        <w:tabs>
          <w:tab w:val="num" w:pos="3240"/>
        </w:tabs>
        <w:ind w:left="3240" w:hanging="360"/>
      </w:pPr>
      <w:rPr/>
    </w:lvl>
    <w:lvl w:ilvl="6">
      <w:start w:val="1"/>
      <w:numFmt w:val="decimal"/>
      <w:lvlText w:val="%7."/>
      <w:lvlJc w:val="left"/>
      <w:pPr>
        <w:tabs>
          <w:tab w:val="num" w:pos="3600"/>
        </w:tabs>
        <w:ind w:left="3600" w:hanging="360"/>
      </w:pPr>
      <w:rPr/>
    </w:lvl>
    <w:lvl w:ilvl="7">
      <w:start w:val="1"/>
      <w:numFmt w:val="decimal"/>
      <w:lvlText w:val="%8."/>
      <w:lvlJc w:val="left"/>
      <w:pPr>
        <w:tabs>
          <w:tab w:val="num" w:pos="3960"/>
        </w:tabs>
        <w:ind w:left="3960" w:hanging="360"/>
      </w:pPr>
      <w:rPr/>
    </w:lvl>
    <w:lvl w:ilvl="8">
      <w:start w:val="1"/>
      <w:numFmt w:val="decimal"/>
      <w:lvlText w:val="%9."/>
      <w:lvlJc w:val="left"/>
      <w:pPr>
        <w:tabs>
          <w:tab w:val="num" w:pos="4320"/>
        </w:tabs>
        <w:ind w:left="4320" w:hanging="360"/>
      </w:pPr>
      <w:rPr/>
    </w:lvl>
  </w:abstractNum>
  <w:abstractNum w:abstractNumId="19">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18"/>
    <w:lvlOverride w:ilvl="0">
      <w:startOverride w:val="2"/>
    </w:lvlOverride>
  </w:num>
</w:numbering>
</file>

<file path=word/settings.xml><?xml version="1.0" encoding="utf-8"?>
<w:settings xmlns:w="http://schemas.openxmlformats.org/wordprocessingml/2006/main">
  <w:zoom w:percent="100"/>
  <w:trackRevisions/>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283"/>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it-IT"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e0027"/>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it-IT" w:eastAsia="en-US" w:bidi="ar-SA"/>
    </w:rPr>
  </w:style>
  <w:style w:type="character" w:styleId="DefaultParagraphFont" w:default="1">
    <w:name w:val="Default Paragraph Font"/>
    <w:uiPriority w:val="1"/>
    <w:semiHidden/>
    <w:unhideWhenUsed/>
    <w:qFormat/>
    <w:rPr/>
  </w:style>
  <w:style w:type="character" w:styleId="IntestazioneCarattere" w:customStyle="1">
    <w:name w:val="Intestazione Carattere"/>
    <w:basedOn w:val="DefaultParagraphFont"/>
    <w:link w:val="Intestazione"/>
    <w:uiPriority w:val="99"/>
    <w:qFormat/>
    <w:rsid w:val="004a2887"/>
    <w:rPr/>
  </w:style>
  <w:style w:type="character" w:styleId="PidipaginaCarattere" w:customStyle="1">
    <w:name w:val="Piè di pagina Carattere"/>
    <w:basedOn w:val="DefaultParagraphFont"/>
    <w:link w:val="Pidipagina"/>
    <w:uiPriority w:val="99"/>
    <w:qFormat/>
    <w:rsid w:val="004a2887"/>
    <w:rPr/>
  </w:style>
  <w:style w:type="character" w:styleId="TestofumettoCarattere" w:customStyle="1">
    <w:name w:val="Testo fumetto Carattere"/>
    <w:basedOn w:val="DefaultParagraphFont"/>
    <w:link w:val="Testofumetto"/>
    <w:uiPriority w:val="99"/>
    <w:semiHidden/>
    <w:qFormat/>
    <w:rsid w:val="00b277bf"/>
    <w:rPr>
      <w:rFonts w:ascii="Segoe UI" w:hAnsi="Segoe UI" w:cs="Segoe UI"/>
      <w:sz w:val="18"/>
      <w:szCs w:val="18"/>
    </w:rPr>
  </w:style>
  <w:style w:type="character" w:styleId="Annotationreference">
    <w:name w:val="annotation reference"/>
    <w:basedOn w:val="DefaultParagraphFont"/>
    <w:uiPriority w:val="99"/>
    <w:semiHidden/>
    <w:unhideWhenUsed/>
    <w:qFormat/>
    <w:rsid w:val="0000569b"/>
    <w:rPr>
      <w:sz w:val="16"/>
      <w:szCs w:val="16"/>
    </w:rPr>
  </w:style>
  <w:style w:type="character" w:styleId="TestocommentoCarattere" w:customStyle="1">
    <w:name w:val="Testo commento Carattere"/>
    <w:basedOn w:val="DefaultParagraphFont"/>
    <w:link w:val="Testocommento"/>
    <w:uiPriority w:val="99"/>
    <w:semiHidden/>
    <w:qFormat/>
    <w:rsid w:val="0000569b"/>
    <w:rPr>
      <w:sz w:val="20"/>
      <w:szCs w:val="20"/>
    </w:rPr>
  </w:style>
  <w:style w:type="character" w:styleId="SoggettocommentoCarattere" w:customStyle="1">
    <w:name w:val="Soggetto commento Carattere"/>
    <w:basedOn w:val="TestocommentoCarattere"/>
    <w:link w:val="Soggettocommento"/>
    <w:uiPriority w:val="99"/>
    <w:semiHidden/>
    <w:qFormat/>
    <w:rsid w:val="0000569b"/>
    <w:rPr>
      <w:b/>
      <w:bCs/>
      <w:sz w:val="20"/>
      <w:szCs w:val="20"/>
    </w:rPr>
  </w:style>
  <w:style w:type="character" w:styleId="Caratteridinumerazione" w:customStyle="1">
    <w:name w:val="Caratteri di numerazione"/>
    <w:qFormat/>
    <w:rPr/>
  </w:style>
  <w:style w:type="character" w:styleId="Punti" w:customStyle="1">
    <w:name w:val="Punti"/>
    <w:qFormat/>
    <w:rPr>
      <w:rFonts w:ascii="OpenSymbol" w:hAnsi="OpenSymbol" w:eastAsia="OpenSymbol" w:cs="OpenSymbol"/>
    </w:rPr>
  </w:style>
  <w:style w:type="character" w:styleId="Numerazionerighe" w:customStyle="1">
    <w:name w:val="Numerazione righe"/>
    <w:rPr/>
  </w:style>
  <w:style w:type="paragraph" w:styleId="Titolo">
    <w:name w:val="Titolo"/>
    <w:basedOn w:val="Normal"/>
    <w:next w:val="Corpodeltesto"/>
    <w:qFormat/>
    <w:pPr>
      <w:keepNext w:val="true"/>
      <w:spacing w:before="240" w:after="120"/>
    </w:pPr>
    <w:rPr>
      <w:rFonts w:ascii="Trebuchet MS" w:hAnsi="Trebuchet MS" w:eastAsia="Microsoft YaHei" w:cs="Arial Unicode MS"/>
      <w:sz w:val="20"/>
      <w:szCs w:val="28"/>
    </w:rPr>
  </w:style>
  <w:style w:type="paragraph" w:styleId="Corpodeltesto">
    <w:name w:val="Body Text"/>
    <w:basedOn w:val="Normal"/>
    <w:pPr>
      <w:spacing w:lineRule="auto" w:line="276" w:before="0" w:after="140"/>
    </w:pPr>
    <w:rPr/>
  </w:style>
  <w:style w:type="paragraph" w:styleId="Elenco">
    <w:name w:val="List"/>
    <w:basedOn w:val="Corpodeltesto"/>
    <w:pPr/>
    <w:rPr>
      <w:rFonts w:ascii="Trebuchet MS" w:hAnsi="Trebuchet MS" w:cs="Arial Unicode MS"/>
    </w:rPr>
  </w:style>
  <w:style w:type="paragraph" w:styleId="Didascalia">
    <w:name w:val="Caption"/>
    <w:basedOn w:val="Normal"/>
    <w:qFormat/>
    <w:pPr>
      <w:suppressLineNumbers/>
      <w:spacing w:before="120" w:after="120"/>
    </w:pPr>
    <w:rPr>
      <w:rFonts w:ascii="Trebuchet MS" w:hAnsi="Trebuchet MS" w:cs="Arial Unicode MS"/>
      <w:i/>
      <w:iCs/>
      <w:sz w:val="24"/>
      <w:szCs w:val="24"/>
    </w:rPr>
  </w:style>
  <w:style w:type="paragraph" w:styleId="Indice" w:customStyle="1">
    <w:name w:val="Indice"/>
    <w:basedOn w:val="Normal"/>
    <w:qFormat/>
    <w:pPr>
      <w:suppressLineNumbers/>
    </w:pPr>
    <w:rPr>
      <w:rFonts w:ascii="Trebuchet MS" w:hAnsi="Trebuchet MS" w:cs="Arial Unicode MS"/>
    </w:rPr>
  </w:style>
  <w:style w:type="paragraph" w:styleId="Titoloprincipale">
    <w:name w:val="Title"/>
    <w:basedOn w:val="Normal"/>
    <w:next w:val="Corpodeltesto"/>
    <w:qFormat/>
    <w:pPr>
      <w:keepNext w:val="true"/>
      <w:spacing w:before="240" w:after="120"/>
    </w:pPr>
    <w:rPr>
      <w:rFonts w:ascii="Trebuchet MS" w:hAnsi="Trebuchet MS" w:eastAsia="Microsoft YaHei" w:cs="Arial Unicode MS"/>
      <w:sz w:val="20"/>
      <w:szCs w:val="28"/>
    </w:rPr>
  </w:style>
  <w:style w:type="paragraph" w:styleId="Caption">
    <w:name w:val="caption"/>
    <w:basedOn w:val="Normal"/>
    <w:qFormat/>
    <w:pPr>
      <w:suppressLineNumbers/>
      <w:spacing w:before="120" w:after="120"/>
    </w:pPr>
    <w:rPr>
      <w:rFonts w:ascii="Trebuchet MS" w:hAnsi="Trebuchet MS" w:cs="Arial Unicode MS"/>
      <w:i/>
      <w:iCs/>
      <w:sz w:val="24"/>
      <w:szCs w:val="24"/>
    </w:rPr>
  </w:style>
  <w:style w:type="paragraph" w:styleId="ListParagraph">
    <w:name w:val="List Paragraph"/>
    <w:basedOn w:val="Normal"/>
    <w:uiPriority w:val="34"/>
    <w:qFormat/>
    <w:rsid w:val="0055358b"/>
    <w:pPr>
      <w:spacing w:before="0" w:after="160"/>
      <w:ind w:left="720" w:hanging="0"/>
      <w:contextualSpacing/>
    </w:pPr>
    <w:rPr/>
  </w:style>
  <w:style w:type="paragraph" w:styleId="Intestazioneepidipagina" w:customStyle="1">
    <w:name w:val="Intestazione e piè di pagina"/>
    <w:basedOn w:val="Normal"/>
    <w:qFormat/>
    <w:pPr/>
    <w:rPr/>
  </w:style>
  <w:style w:type="paragraph" w:styleId="Intestazione">
    <w:name w:val="Header"/>
    <w:basedOn w:val="Normal"/>
    <w:link w:val="IntestazioneCarattere"/>
    <w:uiPriority w:val="99"/>
    <w:unhideWhenUsed/>
    <w:rsid w:val="004a2887"/>
    <w:pPr>
      <w:tabs>
        <w:tab w:val="clear" w:pos="720"/>
        <w:tab w:val="center" w:pos="4819" w:leader="none"/>
        <w:tab w:val="right" w:pos="9638" w:leader="none"/>
      </w:tabs>
      <w:spacing w:lineRule="auto" w:line="240" w:before="0" w:after="0"/>
    </w:pPr>
    <w:rPr/>
  </w:style>
  <w:style w:type="paragraph" w:styleId="Pidipagina">
    <w:name w:val="Footer"/>
    <w:basedOn w:val="Normal"/>
    <w:link w:val="PidipaginaCarattere"/>
    <w:uiPriority w:val="99"/>
    <w:unhideWhenUsed/>
    <w:rsid w:val="004a2887"/>
    <w:pPr>
      <w:tabs>
        <w:tab w:val="clear" w:pos="720"/>
        <w:tab w:val="center" w:pos="4819" w:leader="none"/>
        <w:tab w:val="right" w:pos="9638" w:leader="none"/>
      </w:tabs>
      <w:spacing w:lineRule="auto" w:line="240" w:before="0" w:after="0"/>
    </w:pPr>
    <w:rPr/>
  </w:style>
  <w:style w:type="paragraph" w:styleId="BalloonText">
    <w:name w:val="Balloon Text"/>
    <w:basedOn w:val="Normal"/>
    <w:link w:val="TestofumettoCarattere"/>
    <w:uiPriority w:val="99"/>
    <w:semiHidden/>
    <w:unhideWhenUsed/>
    <w:qFormat/>
    <w:rsid w:val="00b277bf"/>
    <w:pPr>
      <w:spacing w:lineRule="auto" w:line="240" w:before="0" w:after="0"/>
    </w:pPr>
    <w:rPr>
      <w:rFonts w:ascii="Segoe UI" w:hAnsi="Segoe UI" w:cs="Segoe UI"/>
      <w:sz w:val="18"/>
      <w:szCs w:val="18"/>
    </w:rPr>
  </w:style>
  <w:style w:type="paragraph" w:styleId="Annotationtext">
    <w:name w:val="annotation text"/>
    <w:basedOn w:val="Normal"/>
    <w:link w:val="TestocommentoCarattere"/>
    <w:uiPriority w:val="99"/>
    <w:semiHidden/>
    <w:unhideWhenUsed/>
    <w:qFormat/>
    <w:rsid w:val="0000569b"/>
    <w:pPr>
      <w:spacing w:lineRule="auto" w:line="240"/>
    </w:pPr>
    <w:rPr>
      <w:sz w:val="20"/>
      <w:szCs w:val="20"/>
    </w:rPr>
  </w:style>
  <w:style w:type="paragraph" w:styleId="Annotationsubject">
    <w:name w:val="annotation subject"/>
    <w:basedOn w:val="Annotationtext"/>
    <w:next w:val="Annotationtext"/>
    <w:link w:val="SoggettocommentoCarattere"/>
    <w:uiPriority w:val="99"/>
    <w:semiHidden/>
    <w:unhideWhenUsed/>
    <w:qFormat/>
    <w:rsid w:val="0000569b"/>
    <w:pPr/>
    <w:rPr>
      <w:b/>
      <w:bCs/>
    </w:rPr>
  </w:style>
  <w:style w:type="paragraph" w:styleId="Revision">
    <w:name w:val="Revision"/>
    <w:uiPriority w:val="99"/>
    <w:semiHidden/>
    <w:qFormat/>
    <w:rsid w:val="00d36055"/>
    <w:pPr>
      <w:widowControl/>
      <w:suppressAutoHyphens w:val="false"/>
      <w:bidi w:val="0"/>
      <w:spacing w:before="0" w:after="0"/>
      <w:jc w:val="left"/>
    </w:pPr>
    <w:rPr>
      <w:rFonts w:ascii="Calibri" w:hAnsi="Calibri" w:eastAsia="Calibri" w:cs="" w:asciiTheme="minorHAnsi" w:cstheme="minorBidi" w:eastAsiaTheme="minorHAnsi" w:hAnsiTheme="minorHAnsi"/>
      <w:color w:val="auto"/>
      <w:kern w:val="0"/>
      <w:sz w:val="22"/>
      <w:szCs w:val="22"/>
      <w:lang w:val="it-IT" w:eastAsia="en-US" w:bidi="ar-SA"/>
    </w:rPr>
  </w:style>
  <w:style w:type="paragraph" w:styleId="Default" w:customStyle="1">
    <w:name w:val="Default"/>
    <w:qFormat/>
    <w:rsid w:val="00f5145c"/>
    <w:pPr>
      <w:widowControl/>
      <w:suppressAutoHyphens w:val="false"/>
      <w:bidi w:val="0"/>
      <w:spacing w:before="0" w:after="0"/>
      <w:jc w:val="left"/>
    </w:pPr>
    <w:rPr>
      <w:rFonts w:ascii="Calibri" w:hAnsi="Calibri" w:cs="Calibri" w:eastAsia="Calibri"/>
      <w:color w:val="000000"/>
      <w:kern w:val="0"/>
      <w:sz w:val="24"/>
      <w:szCs w:val="24"/>
      <w:lang w:val="it-IT" w:eastAsia="en-US" w:bidi="ar-SA"/>
    </w:rPr>
  </w:style>
  <w:style w:type="numbering" w:styleId="NoList" w:default="1">
    <w:name w:val="No List"/>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Application>LibreOffice/7.2.4.1$Windows_X86_64 LibreOffice_project/27d75539669ac387bb498e35313b970b7fe9c4f9</Application>
  <AppVersion>15.0000</AppVersion>
  <Pages>10</Pages>
  <Words>4052</Words>
  <Characters>23490</Characters>
  <CharactersWithSpaces>27408</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2022-06-06T12:24:00Z</dcterms:created>
  <dc:creator>Elisa Padoa</dc:creator>
  <dc:description/>
  <dc:language>it-IT</dc:language>
  <cp:lastModifiedBy>Daniela Lepori</cp:lastModifiedBy>
  <cp:lastPrinted>2016-11-10T14:24:00Z</cp:lastPrinted>
  <dcterms:modified xsi:type="dcterms:W3CDTF">2022-06-22T17:55:16Z</dcterms:modified>
  <cp:revision>13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