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rPr>
          <w:b/>
          <w:b/>
          <w:bCs/>
          <w:szCs w:val="28"/>
        </w:rPr>
      </w:pPr>
      <w:r>
        <w:rPr>
          <w:b/>
          <w:bCs/>
          <w:szCs w:val="28"/>
        </w:rPr>
        <w:t>PROGETTO HAMLET</w:t>
      </w:r>
    </w:p>
    <w:p>
      <w:pPr>
        <w:pStyle w:val="Corpodeltesto"/>
        <w:rPr>
          <w:b/>
          <w:b/>
          <w:bCs/>
          <w:szCs w:val="28"/>
        </w:rPr>
      </w:pPr>
      <w:r>
        <w:rPr>
          <w:b/>
          <w:bCs/>
          <w:szCs w:val="28"/>
        </w:rPr>
        <w:t>Affidamento di servizio per attività di sperimentazione di una piattaforma digitale civica di prossimità.</w:t>
      </w:r>
    </w:p>
    <w:p>
      <w:pPr>
        <w:pStyle w:val="Corpodeltesto"/>
        <w:rPr>
          <w:b/>
          <w:b/>
          <w:bCs/>
          <w:szCs w:val="28"/>
        </w:rPr>
      </w:pPr>
      <w:r>
        <w:rPr>
          <w:b/>
          <w:bCs/>
          <w:szCs w:val="28"/>
        </w:rPr>
      </w:r>
    </w:p>
    <w:p>
      <w:pPr>
        <w:pStyle w:val="Corpodeltesto"/>
        <w:rPr>
          <w:rFonts w:cs="Times New Roman"/>
          <w:color w:val="auto"/>
          <w:lang w:eastAsia="en-US"/>
        </w:rPr>
      </w:pPr>
      <w:r>
        <w:rPr>
          <w:szCs w:val="28"/>
        </w:rPr>
        <w:t xml:space="preserve">Il progetto di sperimentazione Hamlet intende </w:t>
      </w:r>
      <w:r>
        <w:rPr>
          <w:rFonts w:cs="Times New Roman"/>
          <w:color w:val="auto"/>
          <w:lang w:eastAsia="en-US"/>
        </w:rPr>
        <w:t>focalizzare l’attenzione sulla capacità delle piattaforme digitali di ricostruire e mantenere relazioni fisiche e facilitare il rafforzamento del tessuto sociale. Qui di seguito presentiamo un breve abstract del progetto, per poi illustrare in dettaglio le fasi di ricerca a supporto della sperimentazione. Il progetto si concluderà entro il 10 novembre.</w:t>
      </w:r>
    </w:p>
    <w:p>
      <w:pPr>
        <w:pStyle w:val="Corpodeltesto"/>
        <w:rPr>
          <w:rFonts w:cs="Times New Roman"/>
          <w:color w:val="auto"/>
          <w:lang w:eastAsia="en-US"/>
        </w:rPr>
      </w:pPr>
      <w:r>
        <w:rPr>
          <w:rFonts w:cs="Times New Roman"/>
          <w:color w:val="auto"/>
          <w:lang w:eastAsia="en-US"/>
        </w:rPr>
      </w:r>
    </w:p>
    <w:p>
      <w:pPr>
        <w:pStyle w:val="Corpodeltesto"/>
        <w:rPr>
          <w:rFonts w:cs="Times New Roman"/>
          <w:b/>
          <w:b/>
          <w:bCs/>
          <w:color w:val="auto"/>
          <w:sz w:val="20"/>
          <w:szCs w:val="20"/>
          <w:lang w:eastAsia="en-US"/>
        </w:rPr>
      </w:pPr>
      <w:r>
        <w:rPr>
          <w:rFonts w:cs="Times New Roman"/>
          <w:b/>
          <w:bCs/>
          <w:color w:val="auto"/>
          <w:sz w:val="20"/>
          <w:szCs w:val="20"/>
          <w:lang w:eastAsia="en-US"/>
        </w:rPr>
        <w:t>Abstract</w:t>
      </w:r>
    </w:p>
    <w:p>
      <w:pPr>
        <w:pStyle w:val="Corpodeltesto"/>
        <w:rPr>
          <w:rFonts w:cs="Times New Roman"/>
          <w:b/>
          <w:b/>
          <w:bCs/>
          <w:color w:val="auto"/>
          <w:sz w:val="20"/>
          <w:szCs w:val="20"/>
          <w:lang w:eastAsia="en-US"/>
        </w:rPr>
      </w:pPr>
      <w:r>
        <w:rPr>
          <w:rFonts w:cs="Times New Roman"/>
          <w:b/>
          <w:bCs/>
          <w:color w:val="auto"/>
          <w:sz w:val="20"/>
          <w:szCs w:val="20"/>
          <w:lang w:eastAsia="en-US"/>
        </w:rPr>
      </w:r>
    </w:p>
    <w:p>
      <w:pPr>
        <w:pStyle w:val="Corpodeltesto"/>
        <w:rPr>
          <w:rFonts w:cs="Times New Roman"/>
          <w:i/>
          <w:i/>
          <w:iCs/>
          <w:color w:val="auto"/>
          <w:sz w:val="20"/>
          <w:szCs w:val="20"/>
          <w:lang w:eastAsia="en-US"/>
        </w:rPr>
      </w:pPr>
      <w:r>
        <w:rPr>
          <w:rFonts w:cs="Times New Roman"/>
          <w:i/>
          <w:iCs/>
          <w:color w:val="auto"/>
          <w:sz w:val="20"/>
          <w:szCs w:val="20"/>
          <w:lang w:eastAsia="en-US"/>
        </w:rPr>
        <w:t>La piattaforma Hamlet: caratteristiche, obiettivi, azioni</w:t>
      </w:r>
    </w:p>
    <w:p>
      <w:pPr>
        <w:pStyle w:val="Corpodeltesto"/>
        <w:rPr>
          <w:rFonts w:cs="Times New Roman"/>
          <w:color w:val="auto"/>
          <w:sz w:val="20"/>
          <w:szCs w:val="20"/>
          <w:lang w:eastAsia="en-US"/>
        </w:rPr>
      </w:pPr>
      <w:r>
        <w:rPr>
          <w:rFonts w:cs="Times New Roman"/>
          <w:color w:val="auto"/>
          <w:sz w:val="20"/>
          <w:szCs w:val="20"/>
          <w:lang w:eastAsia="en-US"/>
        </w:rPr>
        <w:t xml:space="preserve">Hamlet è una piattaforma di social networking creata con il software HumHub. Permette di realizzare un ambiente digitale capace di ospitare diverse attività e servizi per facilitare la ri-costruzione di comunità, rendere più accessibili e aggregati determinati servizi digitali, rinsaldare il tessuto relazionale tra le persone in ottica </w:t>
      </w:r>
      <w:r>
        <w:rPr>
          <w:rFonts w:cs="Times New Roman"/>
          <w:i/>
          <w:iCs/>
          <w:color w:val="auto"/>
          <w:sz w:val="20"/>
          <w:szCs w:val="20"/>
          <w:lang w:eastAsia="en-US"/>
        </w:rPr>
        <w:t>onlife</w:t>
      </w:r>
      <w:r>
        <w:rPr>
          <w:rFonts w:cs="Times New Roman"/>
          <w:color w:val="auto"/>
          <w:sz w:val="20"/>
          <w:szCs w:val="20"/>
          <w:lang w:eastAsia="en-US"/>
        </w:rPr>
        <w:t>, ovvero a partire dalla visione di un rapporto inestricabile tra fisico e digitale. La piattaforma è, al momento, in formato beta e si sviluppa alla luce delle esigenze del contesto territoriale in cui viene sperimentata. Obiettivo della ricerca è capire esigenze e caratteristiche del contesto territoriale di sperimentazione e fornire input organizzativi per la gestione di un’infrastruttura digitale per i residenti.</w:t>
      </w:r>
    </w:p>
    <w:p>
      <w:pPr>
        <w:pStyle w:val="Corpodeltesto"/>
        <w:rPr>
          <w:rFonts w:cs="Times New Roman"/>
          <w:color w:val="auto"/>
          <w:sz w:val="20"/>
          <w:szCs w:val="20"/>
          <w:lang w:eastAsia="en-US"/>
        </w:rPr>
      </w:pPr>
      <w:r>
        <w:rPr>
          <w:rFonts w:cs="Times New Roman"/>
          <w:color w:val="auto"/>
          <w:sz w:val="20"/>
          <w:szCs w:val="20"/>
          <w:lang w:eastAsia="en-US"/>
        </w:rPr>
        <w:t>In particolare, gli obiettivi sono:</w:t>
      </w:r>
    </w:p>
    <w:p>
      <w:pPr>
        <w:pStyle w:val="ListParagraph"/>
        <w:numPr>
          <w:ilvl w:val="0"/>
          <w:numId w:val="5"/>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Rinforzare il tessuto sociale di prossimità dei quartieri per sviluppare città policentriche che permettano a tutte le persone – in particolare quelle a ridotta mobilità o che necessitano di un aiuto – di accedere ai beni e servizi necessari e di partecipare attivamente alle attività culturali e sociali;</w:t>
      </w:r>
    </w:p>
    <w:p>
      <w:pPr>
        <w:pStyle w:val="ListParagraph"/>
        <w:numPr>
          <w:ilvl w:val="0"/>
          <w:numId w:val="5"/>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Rinforzare i valori del volontariato, del dono e della cura nei contesti di prossimità, favorendo lo sviluppo di comunità accoglienti e inclusive;</w:t>
      </w:r>
    </w:p>
    <w:p>
      <w:pPr>
        <w:pStyle w:val="ListParagraph"/>
        <w:numPr>
          <w:ilvl w:val="0"/>
          <w:numId w:val="5"/>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Accompagnare le persone, i commercianti e gli artigiani nei nuovi ambienti di relazione e scambio resi disponibili dalla nuova economia di piattaforma, fornendo soluzioni progettate specificamente per quelli digitalmente meno preparati;</w:t>
      </w:r>
    </w:p>
    <w:p>
      <w:pPr>
        <w:pStyle w:val="ListParagraph"/>
        <w:numPr>
          <w:ilvl w:val="0"/>
          <w:numId w:val="5"/>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Sviluppare un modello e una soluzione tecnologica opensource disponibile, ripetibile e scalabile.</w:t>
      </w:r>
    </w:p>
    <w:p>
      <w:pPr>
        <w:pStyle w:val="Corpodeltesto"/>
        <w:rPr>
          <w:rFonts w:cs="Times New Roman"/>
          <w:color w:val="auto"/>
          <w:sz w:val="20"/>
          <w:szCs w:val="20"/>
          <w:lang w:eastAsia="en-US"/>
        </w:rPr>
      </w:pPr>
      <w:r>
        <w:rPr>
          <w:rFonts w:cs="Times New Roman"/>
          <w:color w:val="auto"/>
          <w:sz w:val="20"/>
          <w:szCs w:val="20"/>
          <w:lang w:eastAsia="en-US"/>
        </w:rPr>
        <w:t>Le attività previste, opportunamente declinate a secondo dei contesti territoriali, sono:</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Socializzare: favorire la costruzione di comunità facendo emergere il tessuto sociale esistente, comunicando l’iniziativa e organizzando spazi e momenti di confronto;</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Localizzare: portare servizi e attività vicino ai cittadini e sperimentarne con loro l’utilità, realizzando un prototipo con cui testare l’esperienza e le assunzioni del progetto;</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Includere: estendere la rete degli attori coinvolti per arrivare a coinvolgere il maggior numero di abitanti, commercianti e artigiani possibile;</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Diversificare: coinvolgere attori sociali – come associazioni e professionisti – che possano offrire nuovi servizi e attività culturali e sociali;</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Coordinare: connettere orizzontalmente diverse aree di intervento e di progettualità esistenti sul territorio con interessi e finalità coerenti;</w:t>
      </w:r>
    </w:p>
    <w:p>
      <w:pPr>
        <w:pStyle w:val="ListParagraph"/>
        <w:numPr>
          <w:ilvl w:val="0"/>
          <w:numId w:val="6"/>
        </w:numPr>
        <w:jc w:val="both"/>
        <w:rPr>
          <w:rFonts w:eastAsia="" w:cs="Calibri" w:cstheme="minorHAnsi" w:eastAsiaTheme="minorEastAsia"/>
          <w:color w:val="000000"/>
          <w:sz w:val="20"/>
          <w:szCs w:val="20"/>
          <w:lang w:eastAsia="ja-JP"/>
        </w:rPr>
      </w:pPr>
      <w:r>
        <w:rPr>
          <w:rFonts w:eastAsia="" w:cs="Calibri" w:cstheme="minorHAnsi" w:eastAsiaTheme="minorEastAsia"/>
          <w:color w:val="000000"/>
          <w:sz w:val="20"/>
          <w:szCs w:val="20"/>
          <w:lang w:eastAsia="ja-JP"/>
        </w:rPr>
        <w:t>Condividere: osservare e rendicontare gli obiettivi del progetto e gli impatti generati con una comunicazione mirata agli osservatori istituzionali, agli stakeholder e ai cittadini.</w:t>
      </w:r>
    </w:p>
    <w:p>
      <w:pPr>
        <w:pStyle w:val="Corpodeltesto"/>
        <w:rPr>
          <w:rFonts w:cs="Times New Roman"/>
          <w:color w:val="auto"/>
          <w:sz w:val="20"/>
          <w:szCs w:val="20"/>
          <w:lang w:eastAsia="en-US"/>
        </w:rPr>
      </w:pPr>
      <w:r>
        <w:rPr>
          <w:rFonts w:cs="Times New Roman"/>
          <w:color w:val="auto"/>
          <w:sz w:val="20"/>
          <w:szCs w:val="20"/>
          <w:lang w:eastAsia="en-US"/>
        </w:rPr>
      </w:r>
    </w:p>
    <w:p>
      <w:pPr>
        <w:pStyle w:val="Corpodeltesto"/>
        <w:rPr>
          <w:rFonts w:cs="Times New Roman"/>
          <w:i/>
          <w:i/>
          <w:iCs/>
          <w:color w:val="auto"/>
          <w:sz w:val="20"/>
          <w:szCs w:val="20"/>
          <w:lang w:eastAsia="en-US"/>
        </w:rPr>
      </w:pPr>
      <w:r>
        <w:rPr>
          <w:rFonts w:cs="Times New Roman"/>
          <w:i/>
          <w:iCs/>
          <w:color w:val="auto"/>
          <w:sz w:val="20"/>
          <w:szCs w:val="20"/>
          <w:lang w:eastAsia="en-US"/>
        </w:rPr>
        <w:t>Steps di lavoro, metodologie e attività specifiche</w:t>
      </w:r>
    </w:p>
    <w:p>
      <w:pPr>
        <w:pStyle w:val="Corpodeltesto"/>
        <w:rPr>
          <w:rFonts w:cs="Times New Roman"/>
          <w:color w:val="auto"/>
          <w:sz w:val="20"/>
          <w:szCs w:val="20"/>
          <w:lang w:eastAsia="en-US"/>
        </w:rPr>
      </w:pPr>
      <w:r>
        <w:rPr>
          <w:rFonts w:cs="Times New Roman"/>
          <w:color w:val="auto"/>
          <w:sz w:val="20"/>
          <w:szCs w:val="20"/>
          <w:lang w:eastAsia="en-US"/>
        </w:rPr>
        <w:t>Il progetto di ricerca Hamlet dedicato al contesto territoriale di Reggio Emilia si svilupperà secondo le seguenti fasi, i cui dettagli sono disponibili nella sezione del progetto di ricerca:</w:t>
      </w:r>
    </w:p>
    <w:p>
      <w:pPr>
        <w:pStyle w:val="ListParagraph"/>
        <w:numPr>
          <w:ilvl w:val="0"/>
          <w:numId w:val="3"/>
        </w:numPr>
        <w:jc w:val="both"/>
        <w:rPr>
          <w:sz w:val="20"/>
          <w:szCs w:val="20"/>
        </w:rPr>
      </w:pPr>
      <w:r>
        <w:rPr>
          <w:sz w:val="20"/>
          <w:szCs w:val="20"/>
        </w:rPr>
        <w:t>Individuazione e mappatura aree/quartieri di prototipizzazione (luglio)</w:t>
      </w:r>
    </w:p>
    <w:p>
      <w:pPr>
        <w:pStyle w:val="ListParagraph"/>
        <w:numPr>
          <w:ilvl w:val="0"/>
          <w:numId w:val="3"/>
        </w:numPr>
        <w:jc w:val="both"/>
        <w:rPr>
          <w:sz w:val="20"/>
          <w:szCs w:val="20"/>
        </w:rPr>
      </w:pPr>
      <w:r>
        <w:rPr>
          <w:sz w:val="20"/>
          <w:szCs w:val="20"/>
        </w:rPr>
        <w:t>Coinvolgimento gruppo di supporto locale, con sedute di co-design con community digital, architetti di quartiere, e figure individuate dal Comune di Reggio Emilia (luglio)</w:t>
      </w:r>
    </w:p>
    <w:p>
      <w:pPr>
        <w:pStyle w:val="ListParagraph"/>
        <w:numPr>
          <w:ilvl w:val="0"/>
          <w:numId w:val="3"/>
        </w:numPr>
        <w:jc w:val="both"/>
        <w:rPr>
          <w:sz w:val="20"/>
          <w:szCs w:val="20"/>
        </w:rPr>
      </w:pPr>
      <w:r>
        <w:rPr>
          <w:sz w:val="20"/>
          <w:szCs w:val="20"/>
        </w:rPr>
        <w:t>Primo output: presentazione dell’avanzamento della ricerca (agosto-settembre)</w:t>
      </w:r>
    </w:p>
    <w:p>
      <w:pPr>
        <w:pStyle w:val="ListParagraph"/>
        <w:numPr>
          <w:ilvl w:val="0"/>
          <w:numId w:val="3"/>
        </w:numPr>
        <w:jc w:val="both"/>
        <w:rPr>
          <w:sz w:val="20"/>
          <w:szCs w:val="20"/>
        </w:rPr>
      </w:pPr>
      <w:r>
        <w:rPr>
          <w:sz w:val="20"/>
          <w:szCs w:val="20"/>
        </w:rPr>
        <w:t>Percorso di ricerca-azione con interviste, questionario e focus-group di co-design (settembre-ottobre)</w:t>
      </w:r>
    </w:p>
    <w:p>
      <w:pPr>
        <w:pStyle w:val="ListParagraph"/>
        <w:numPr>
          <w:ilvl w:val="1"/>
          <w:numId w:val="3"/>
        </w:numPr>
        <w:jc w:val="both"/>
        <w:rPr>
          <w:sz w:val="20"/>
          <w:szCs w:val="20"/>
        </w:rPr>
      </w:pPr>
      <w:r>
        <w:rPr>
          <w:sz w:val="20"/>
          <w:szCs w:val="20"/>
        </w:rPr>
        <w:t>Interviste a stake-holder del territorio</w:t>
      </w:r>
    </w:p>
    <w:p>
      <w:pPr>
        <w:pStyle w:val="ListParagraph"/>
        <w:numPr>
          <w:ilvl w:val="1"/>
          <w:numId w:val="3"/>
        </w:numPr>
        <w:jc w:val="both"/>
        <w:rPr>
          <w:sz w:val="20"/>
          <w:szCs w:val="20"/>
        </w:rPr>
      </w:pPr>
      <w:r>
        <w:rPr>
          <w:sz w:val="20"/>
          <w:szCs w:val="20"/>
        </w:rPr>
        <w:t>Somministrazione di questionario ai residenti</w:t>
      </w:r>
    </w:p>
    <w:p>
      <w:pPr>
        <w:pStyle w:val="ListParagraph"/>
        <w:numPr>
          <w:ilvl w:val="1"/>
          <w:numId w:val="3"/>
        </w:numPr>
        <w:jc w:val="both"/>
        <w:rPr>
          <w:sz w:val="20"/>
          <w:szCs w:val="20"/>
          <w:lang w:val="en-US"/>
        </w:rPr>
      </w:pPr>
      <w:r>
        <w:rPr>
          <w:sz w:val="20"/>
          <w:szCs w:val="20"/>
          <w:lang w:val="en-US"/>
        </w:rPr>
        <w:t>Focus-groups di co-design</w:t>
      </w:r>
    </w:p>
    <w:p>
      <w:pPr>
        <w:pStyle w:val="ListParagraph"/>
        <w:numPr>
          <w:ilvl w:val="1"/>
          <w:numId w:val="3"/>
        </w:numPr>
        <w:jc w:val="both"/>
        <w:rPr>
          <w:sz w:val="20"/>
          <w:szCs w:val="20"/>
        </w:rPr>
      </w:pPr>
      <w:r>
        <w:rPr>
          <w:sz w:val="20"/>
          <w:szCs w:val="20"/>
        </w:rPr>
        <w:t>Evento di vicinato (da valutare)</w:t>
      </w:r>
    </w:p>
    <w:p>
      <w:pPr>
        <w:pStyle w:val="ListParagraph"/>
        <w:numPr>
          <w:ilvl w:val="0"/>
          <w:numId w:val="3"/>
        </w:numPr>
        <w:jc w:val="both"/>
        <w:rPr>
          <w:sz w:val="20"/>
          <w:szCs w:val="20"/>
        </w:rPr>
      </w:pPr>
      <w:r>
        <w:rPr>
          <w:sz w:val="20"/>
          <w:szCs w:val="20"/>
        </w:rPr>
        <w:t>Analisi dei dati (settembre-ottobre)</w:t>
      </w:r>
    </w:p>
    <w:p>
      <w:pPr>
        <w:pStyle w:val="ListParagraph"/>
        <w:numPr>
          <w:ilvl w:val="0"/>
          <w:numId w:val="3"/>
        </w:numPr>
        <w:jc w:val="both"/>
        <w:rPr>
          <w:sz w:val="20"/>
          <w:szCs w:val="20"/>
        </w:rPr>
      </w:pPr>
      <w:r>
        <w:rPr>
          <w:sz w:val="20"/>
          <w:szCs w:val="20"/>
        </w:rPr>
        <w:t>Secondo output: presentazione dei risultati della ricerca e indicazioni di sviluppo</w:t>
      </w:r>
    </w:p>
    <w:p>
      <w:pPr>
        <w:pStyle w:val="ListParagraph"/>
        <w:numPr>
          <w:ilvl w:val="0"/>
          <w:numId w:val="3"/>
        </w:numPr>
        <w:jc w:val="both"/>
        <w:rPr>
          <w:sz w:val="20"/>
          <w:szCs w:val="20"/>
        </w:rPr>
      </w:pPr>
      <w:r>
        <w:rPr>
          <w:sz w:val="20"/>
          <w:szCs w:val="20"/>
        </w:rPr>
        <w:t>Seminario di restituzione (ottobre-novembre)</w:t>
      </w:r>
    </w:p>
    <w:p>
      <w:pPr>
        <w:pStyle w:val="ListParagraph"/>
        <w:numPr>
          <w:ilvl w:val="0"/>
          <w:numId w:val="3"/>
        </w:numPr>
        <w:jc w:val="both"/>
        <w:rPr>
          <w:sz w:val="20"/>
          <w:szCs w:val="20"/>
        </w:rPr>
      </w:pPr>
      <w:r>
        <w:rPr>
          <w:sz w:val="20"/>
          <w:szCs w:val="20"/>
        </w:rPr>
        <w:t>Accompagnamento e implementazione</w:t>
      </w:r>
    </w:p>
    <w:p>
      <w:pPr>
        <w:pStyle w:val="Corpodeltesto"/>
        <w:rPr>
          <w:b/>
          <w:b/>
          <w:bCs/>
          <w:sz w:val="20"/>
          <w:szCs w:val="20"/>
        </w:rPr>
      </w:pPr>
      <w:r>
        <w:rPr>
          <w:b/>
          <w:bCs/>
          <w:sz w:val="20"/>
          <w:szCs w:val="20"/>
        </w:rPr>
      </w:r>
    </w:p>
    <w:p>
      <w:pPr>
        <w:pStyle w:val="Corpodeltesto"/>
        <w:rPr>
          <w:i/>
          <w:i/>
          <w:iCs/>
          <w:sz w:val="20"/>
          <w:szCs w:val="20"/>
        </w:rPr>
      </w:pPr>
      <w:r>
        <w:rPr>
          <w:i/>
          <w:iCs/>
          <w:sz w:val="20"/>
          <w:szCs w:val="20"/>
        </w:rPr>
        <w:t>Rendicontazione e budget</w:t>
      </w:r>
    </w:p>
    <w:p>
      <w:pPr>
        <w:pStyle w:val="Corpodeltesto"/>
        <w:rPr>
          <w:sz w:val="20"/>
          <w:szCs w:val="20"/>
        </w:rPr>
      </w:pPr>
      <w:r>
        <w:rPr>
          <w:sz w:val="20"/>
          <w:szCs w:val="20"/>
        </w:rPr>
        <w:t>La rendicontazione della ricerca prevede la raccolta e la gestione dei dati e delle informazioni relative alle varie attività, con una reportistica accurata che illustra elementi quantitativi (numero interviste, focus group, partecipanti alle attività) e qualitativi (analisi degli output della ricerca). Il progetto di ricerca prevede un budget di 15600 euro (+iva).</w:t>
      </w:r>
    </w:p>
    <w:p>
      <w:pPr>
        <w:pStyle w:val="Corpodeltesto"/>
        <w:rPr>
          <w:b/>
          <w:b/>
          <w:bCs/>
          <w:szCs w:val="28"/>
        </w:rPr>
      </w:pPr>
      <w:r>
        <w:rPr>
          <w:b/>
          <w:bCs/>
          <w:szCs w:val="28"/>
        </w:rPr>
      </w:r>
    </w:p>
    <w:p>
      <w:pPr>
        <w:pStyle w:val="Corpodeltesto"/>
        <w:rPr>
          <w:b/>
          <w:b/>
          <w:bCs/>
          <w:szCs w:val="28"/>
        </w:rPr>
      </w:pPr>
      <w:r>
        <w:rPr>
          <w:b/>
          <w:bCs/>
          <w:szCs w:val="28"/>
        </w:rPr>
        <w:t>Contesto di riferimento</w:t>
      </w:r>
    </w:p>
    <w:p>
      <w:pPr>
        <w:pStyle w:val="Corpodeltesto"/>
        <w:rPr/>
      </w:pPr>
      <w:r>
        <w:rPr/>
        <w:t xml:space="preserve">La vasta gamma di attività che vengono raggruppate in modo generico sotto l’ombrello del concetto di digitale sono progressivamente entrate nella vita delle persone, fino a modellarne l’esperienza quotidiana in ogni ambito. Tale processo non si è sviluppato in contrasto con un livello fisico-materiale, ma in simbiosi con esso, a tal punto da non riuscire più a distinguere i confini tra l’uno e l’altro. La materialità tecnologica interviene nelle dinamiche socio-relazionali che strutturano le organizzazioni in ogni sistema, e viceversa le dinamiche socio-relazionali incidono sulle traiettorie trasformative della tecnologia stessa in una reciprocità che definisce le caratteristiche evolutive della contemporaneità. In questa direzione, si parla di </w:t>
      </w:r>
      <w:r>
        <w:rPr>
          <w:i/>
          <w:iCs/>
        </w:rPr>
        <w:t>software culture</w:t>
      </w:r>
      <w:r>
        <w:rPr/>
        <w:t xml:space="preserve"> e di esperienze </w:t>
      </w:r>
      <w:r>
        <w:rPr>
          <w:i/>
          <w:iCs/>
        </w:rPr>
        <w:t>onlife</w:t>
      </w:r>
      <w:r>
        <w:rPr/>
        <w:t xml:space="preserve">, per cui la cultura viene influenzata dalla capacità della codificazione di creare ambienti digitali integrati e funzionali ai processi fisici, in un rapporto in cui la separazione netta tra reale/virtuale e fisico/digitale viene meno. </w:t>
      </w:r>
    </w:p>
    <w:p>
      <w:pPr>
        <w:pStyle w:val="Corpodeltesto"/>
        <w:rPr>
          <w:rFonts w:cs="Times New Roman"/>
          <w:color w:val="auto"/>
          <w:lang w:eastAsia="en-US"/>
        </w:rPr>
      </w:pPr>
      <w:r>
        <w:rPr/>
        <w:t xml:space="preserve">Tale progressiva integrazione, in nuce a partire dall’avvento della cosiddetta rivoluzione digitale, ha avuto una significativa accelerazione </w:t>
      </w:r>
      <w:r>
        <w:rPr>
          <w:rFonts w:cs="Times New Roman"/>
          <w:color w:val="auto"/>
          <w:lang w:eastAsia="en-US"/>
        </w:rPr>
        <w:t xml:space="preserve">quando uno dei termini di questi binomi dicotomici si è ritrovato sospeso a causa della pandemia, la socialità fisica: il lockdown del 2020 ha incentivato, in forme obbligate, lo spostamento delle relazioni amicali o dei processi partecipativi dalle sale agli schermi (dalle call tra amici alle sedute online consigli comunali sino alle interazioni tra policy makers e cittadini sui profili dei social media); ha costretto i cittadini ad accedere a forme di e-commerce per ridurre i contatti esterni; ha imposto la digitalizzazione del lavoro in una larghissima parte, se non tutto, del settore terziario, con lo sdoganamento di forme ibride di lavoro a distanza e conseguente necessità di riallineamento sul significato di categorie come smart-working, home-working, flex-working. Sebbene possiamo fare molti altri esempi, tutti hanno in comune, a un’attenta osservazione, il fatto che il virtuale e il digitale sia divenuto un orizzonte di realtà, palesando le capacità dello strumento tecnologico di compensare il vuoto relazionale e mostrando come le due dimensioni siano integrate e conniventi nella costruzione di un futuro che è già presente, nell’accettazione di una novità che è già normalità. </w:t>
      </w:r>
    </w:p>
    <w:p>
      <w:pPr>
        <w:pStyle w:val="Corpodeltesto"/>
        <w:rPr>
          <w:rFonts w:cs="Times New Roman"/>
          <w:color w:val="auto"/>
          <w:lang w:eastAsia="en-US"/>
        </w:rPr>
      </w:pPr>
      <w:r>
        <w:rPr>
          <w:rFonts w:cs="Times New Roman"/>
          <w:color w:val="auto"/>
          <w:lang w:eastAsia="en-US"/>
        </w:rPr>
        <w:t xml:space="preserve">Inoltre, ci siamo accorti come l’isolamento imposto abbia messo in luce l’importanza di sentirsi vicino e di poter condividere qualcosa con qualcuno: se il bisogno di prossimità era un tema emergente pre-pandemia, trend fisiologico in una società sempre più globale e definita da una crescente disintermediazione dovuta al ruolo della tecnologia, ora è diventato il fulcro della riflessione sulla società che verrà; la prossimità fisica e digitale possono sostenersi a vicenda, se percepite e delineate come complementari e funzionali tra loro. A fianco del dibattito sulla cosiddetta “città dei 15 minuti”, idea incentrata su una visione ancora eminentemente fisica della dimensione urbana, si è fatta strada la possibilità di una prossimità abitabile in modalità ibrida, grazie al ruolo che potrebbero giocare le piattaforme digitali. </w:t>
      </w:r>
    </w:p>
    <w:p>
      <w:pPr>
        <w:pStyle w:val="Corpodeltesto"/>
        <w:rPr>
          <w:rFonts w:cs="Times New Roman"/>
          <w:color w:val="auto"/>
          <w:lang w:eastAsia="en-US"/>
        </w:rPr>
      </w:pPr>
      <w:r>
        <w:rPr>
          <w:rFonts w:cs="Times New Roman"/>
          <w:color w:val="auto"/>
          <w:lang w:eastAsia="en-US"/>
        </w:rPr>
        <w:t xml:space="preserve">In tutto questo, vorremmo, quindi, cercare di focalizzare l’attenzione sulla capacità delle piattaforme digitali di ricostruire e mantenere relazioni fisiche e facilitare il rafforzamento del tessuto sociale, ponendo in particolare un tema al centro del dibattitto: l’esperienza digitale è costituita da una parte dalla presenza di giga-player globali privati, dall’altra da una estrema frammentazione dei servizi digitali del settore pubblico, senza una concezione delle piattaforme digitali quali bene comune che facilita l’aggregazione di reti, spazi e servizi </w:t>
      </w:r>
      <w:r>
        <w:rPr>
          <w:rFonts w:cs="Times New Roman"/>
          <w:i/>
          <w:iCs/>
          <w:color w:val="auto"/>
          <w:lang w:eastAsia="en-US"/>
        </w:rPr>
        <w:t>onlife</w:t>
      </w:r>
      <w:r>
        <w:rPr>
          <w:rFonts w:cs="Times New Roman"/>
          <w:color w:val="auto"/>
          <w:lang w:eastAsia="en-US"/>
        </w:rPr>
        <w:t>. La domanda che ci poniamo, in linea con la constatazione che lo spazio pubblico è normato dall’amministrazione pubblica (licenze commerciali, occupazione suolo pubblico, piani urbanistici, ecc.), è se non sia possibile costruire una piattaforma digitale come bene pubblico (</w:t>
      </w:r>
      <w:r>
        <w:rPr>
          <w:rFonts w:cs="Times New Roman"/>
          <w:i/>
          <w:iCs/>
          <w:color w:val="auto"/>
          <w:lang w:eastAsia="en-US"/>
        </w:rPr>
        <w:t>commons</w:t>
      </w:r>
      <w:r>
        <w:rPr>
          <w:rFonts w:cs="Times New Roman"/>
          <w:color w:val="auto"/>
          <w:lang w:eastAsia="en-US"/>
        </w:rPr>
        <w:t>) che possa facilitare le relazioni e la collaborazione tra persone che vivono nello stesso quartiere e aggregare reti di relazioni, bisogni, funzionalità, servizi in uno spazio codificato digitale che dialoga con lo spazio fisico materiale (organizzazione di vita associativa; richiesta consigli tra utenti; accesso a servizi pubblici – pagamento bollette, prenotazione visite o appuntamenti, compilazione documenti; e-commerce di quartiere; banca del tempo e volontariato; gestione di attività del quartiere formale o informale – controllo di vicinato, contratti di quartiere, laboratori di cittadinanza, ecc.).</w:t>
      </w:r>
    </w:p>
    <w:p>
      <w:pPr>
        <w:pStyle w:val="Normal"/>
        <w:jc w:val="both"/>
        <w:rPr/>
      </w:pPr>
      <w:r>
        <w:rPr/>
        <w:t xml:space="preserve">Si tratta di una domanda che coglie il bisogno pressante di generare nuove risposte a situazioni emergenti che mettono a dura prova vecchie logiche economiche e sociali, soprattutto in contesti che intendono ripensarli in modo rilevante attraverso percorsi di innovazione sociale. In questi termini, per esempio, i </w:t>
      </w:r>
      <w:r>
        <w:rPr>
          <w:i/>
          <w:iCs/>
        </w:rPr>
        <w:t>Sustainable Development Goals</w:t>
      </w:r>
      <w:r>
        <w:rPr/>
        <w:t xml:space="preserve"> delle Nazioni Unite richiamano le responsabilità di ogni soggetto sociale, sia esso individuale o collettivo, come le aziende e le pubbliche amministrazioni, nel realizzare città e comunità sostenibili e anti-fragili a livello sociale, culturale, economico, ambientale e istituzionale, che possano rispondere al tempo stesso alle istanze sempre più diffuse di equità e benessere in una dinamica di coinvolgimento e partecipazione dei soggetti sociali stessi.</w:t>
      </w:r>
    </w:p>
    <w:p>
      <w:pPr>
        <w:pStyle w:val="Corpodeltesto"/>
        <w:rPr>
          <w:rFonts w:cs="Times New Roman"/>
          <w:color w:val="auto"/>
          <w:lang w:eastAsia="en-US"/>
        </w:rPr>
      </w:pPr>
      <w:r>
        <w:rPr>
          <w:rFonts w:cs="Times New Roman"/>
          <w:color w:val="auto"/>
          <w:lang w:eastAsia="en-US"/>
        </w:rPr>
      </w:r>
    </w:p>
    <w:p>
      <w:pPr>
        <w:pStyle w:val="Corpodeltesto"/>
        <w:rPr>
          <w:rFonts w:cs="Times New Roman"/>
          <w:b/>
          <w:b/>
          <w:bCs/>
          <w:color w:val="auto"/>
          <w:lang w:eastAsia="en-US"/>
        </w:rPr>
      </w:pPr>
      <w:r>
        <w:rPr>
          <w:rFonts w:cs="Times New Roman"/>
          <w:b/>
          <w:bCs/>
          <w:color w:val="auto"/>
          <w:lang w:eastAsia="en-US"/>
        </w:rPr>
        <w:t>Idea alla base dello studio</w:t>
      </w:r>
    </w:p>
    <w:p>
      <w:pPr>
        <w:pStyle w:val="Normal"/>
        <w:jc w:val="both"/>
        <w:rPr/>
      </w:pPr>
      <w:r>
        <w:rPr/>
        <w:t xml:space="preserve">L’aspetto della collaborazione aperta rappresenta il caposaldo dei modelli di </w:t>
      </w:r>
      <w:r>
        <w:rPr>
          <w:i/>
          <w:iCs/>
        </w:rPr>
        <w:t>open innovation</w:t>
      </w:r>
      <w:r>
        <w:rPr/>
        <w:t xml:space="preserve"> che, applicati al contesto delle politiche pubbliche, propongono un nuovo ruolo per i policy maker e gli enti locali: quello di agenti del cambiamento che supportano processi innovativi continui attraverso il sostegno alle dinamiche sociali di interazione, scambio e collaborazione. Tale approccio ruota intorno al concetto di </w:t>
      </w:r>
      <w:r>
        <w:rPr>
          <w:i/>
          <w:iCs/>
        </w:rPr>
        <w:t>ecosistema</w:t>
      </w:r>
      <w:r>
        <w:rPr/>
        <w:t xml:space="preserve">, nel quale svolgono particolare importanza le relazioni, che costituiscono la </w:t>
      </w:r>
      <w:r>
        <w:rPr>
          <w:i/>
        </w:rPr>
        <w:t>social fabric</w:t>
      </w:r>
      <w:r>
        <w:rPr/>
        <w:t xml:space="preserve"> di un territorio e nel quale si innestano le azioni dei singoli attori che, a loro volta, possono trarre da essa vie privilegiate per accedere a importanti risorse materiali e immateriali (informazioni, conoscenze, sostegno, fiducia, ecc.). Alla luce di quanto espresso in premessa, diventa importante capire come tali ecosistemi possano beneficiare di un livello digitale che faciliti dinamiche di innovazione social. </w:t>
      </w:r>
    </w:p>
    <w:p>
      <w:pPr>
        <w:pStyle w:val="Normal"/>
        <w:jc w:val="both"/>
        <w:rPr/>
      </w:pPr>
      <w:r>
        <w:rPr/>
        <w:t xml:space="preserve">L’approccio che ispira il progetto di ricerca </w:t>
      </w:r>
      <w:r>
        <w:rPr>
          <w:i/>
          <w:iCs/>
        </w:rPr>
        <w:t>Hamlet</w:t>
      </w:r>
      <w:r>
        <w:rPr/>
        <w:t xml:space="preserve"> è basato sui principi fin qui discussi e si fonda su un approccio ecosistemico la cui applicazione è finalizzata all’emersione delle caratteristiche materiali e relazionali di un determinato ambito territoriale (quartiere o </w:t>
      </w:r>
      <w:r>
        <w:rPr>
          <w:i/>
          <w:iCs/>
        </w:rPr>
        <w:t>hamlet</w:t>
      </w:r>
      <w:r>
        <w:rPr/>
        <w:t xml:space="preserve">), individuando tutti quegli elementi (persone, organizzazioni, soggetti e spazi attivi in termini relazionali e commerciali, iniziative messe in campo, bisogni e visioni del quartiere, le dinamiche collaborative messe in campo tra di loro e con altre organizzazioni della città) per lavorare alla loro integrazione e coinvolgimento all’interno di una piattaforma digitale. </w:t>
      </w:r>
    </w:p>
    <w:p>
      <w:pPr>
        <w:pStyle w:val="Normal"/>
        <w:jc w:val="both"/>
        <w:rPr/>
      </w:pPr>
      <w:r>
        <w:rPr/>
        <w:t xml:space="preserve">In questa direzione, si intende fornire un significativo aggiornamento ai progetti di ricerca </w:t>
      </w:r>
      <w:r>
        <w:rPr>
          <w:i/>
          <w:iCs/>
        </w:rPr>
        <w:t>context-based</w:t>
      </w:r>
      <w:r>
        <w:rPr/>
        <w:t xml:space="preserve"> sviluppati con il Comune di Reggio Emilia sul tema dell’impatto dell’innovazione sociale e sulle dinamiche socio-relazionali contestuali per processi di rigenerazione urbana, che si sono focalizzati sulle dimensioni di </w:t>
      </w:r>
      <w:r>
        <w:rPr>
          <w:i/>
          <w:iCs/>
        </w:rPr>
        <w:t>intermediazione</w:t>
      </w:r>
      <w:r>
        <w:rPr/>
        <w:t xml:space="preserve"> (la capacità di mettere in connessione i diversi attori presenti in un territorio), </w:t>
      </w:r>
      <w:r>
        <w:rPr>
          <w:i/>
          <w:iCs/>
        </w:rPr>
        <w:t>identità</w:t>
      </w:r>
      <w:r>
        <w:rPr/>
        <w:t xml:space="preserve"> (l’insieme delle caratteristiche di un determinato contesto geografico, da quelle materiali e fisiche a quelle di natura immateriali e simboliche, costruita attraverso le relazioni umane e in rapporto ai luoghi), </w:t>
      </w:r>
      <w:r>
        <w:rPr>
          <w:i/>
          <w:iCs/>
        </w:rPr>
        <w:t>coinvolgimento</w:t>
      </w:r>
      <w:r>
        <w:rPr/>
        <w:t xml:space="preserve"> (la costruzione del senso di community e la motivazione a partecipare da parte dei cittadini).</w:t>
      </w:r>
    </w:p>
    <w:p>
      <w:pPr>
        <w:pStyle w:val="Normal"/>
        <w:jc w:val="both"/>
        <w:rPr/>
      </w:pPr>
      <w:r>
        <w:rPr/>
        <w:t xml:space="preserve">Infatti, il progetto </w:t>
      </w:r>
      <w:r>
        <w:rPr>
          <w:i/>
          <w:iCs/>
        </w:rPr>
        <w:t>Hamlet</w:t>
      </w:r>
      <w:r>
        <w:rPr/>
        <w:t xml:space="preserve"> intende capire in che modo le persone legate a un determinato ambito territoriale possono utilizzare e beneficiare di una piattaforma digitale in grado di: 1) facilitare relazioni di prossimità per potenziare coesione, collaborazione, contaminazione e scambio di conoscenze (</w:t>
      </w:r>
      <w:r>
        <w:rPr>
          <w:i/>
          <w:iCs/>
        </w:rPr>
        <w:t>intermediazione</w:t>
      </w:r>
      <w:r>
        <w:rPr/>
        <w:t xml:space="preserve">); 2) valorizzare gli </w:t>
      </w:r>
      <w:r>
        <w:rPr>
          <w:rFonts w:eastAsia="Calibri"/>
        </w:rPr>
        <w:t xml:space="preserve">elementi considerati distintivi e rilevanti nella definizione dell’identità dell’area che contribuiscono a determinarne </w:t>
      </w:r>
      <w:r>
        <w:rPr/>
        <w:t>il senso di attaccamento (</w:t>
      </w:r>
      <w:r>
        <w:rPr>
          <w:i/>
          <w:iCs/>
        </w:rPr>
        <w:t>identità</w:t>
      </w:r>
      <w:r>
        <w:rPr/>
        <w:t>); 3) rafforzare l’ingaggio da parte delle persone di una comunità per partecipare a processi di trasformazione o rilancio del contesto in cui vivono (</w:t>
      </w:r>
      <w:r>
        <w:rPr>
          <w:i/>
          <w:iCs/>
        </w:rPr>
        <w:t>coinvolgimento</w:t>
      </w:r>
      <w:r>
        <w:rPr/>
        <w:t xml:space="preserve">). A questo si aggiunge un quarto punto, legato alla </w:t>
      </w:r>
      <w:r>
        <w:rPr>
          <w:i/>
          <w:iCs/>
        </w:rPr>
        <w:t>digitalization</w:t>
      </w:r>
      <w:r>
        <w:rPr/>
        <w:t xml:space="preserve"> (in questo differente dalla </w:t>
      </w:r>
      <w:r>
        <w:rPr>
          <w:i/>
          <w:iCs/>
        </w:rPr>
        <w:t>digitization</w:t>
      </w:r>
      <w:r>
        <w:rPr/>
        <w:t>, ovvero la mera traslazione digitale dei processi fisici): sperimentare mediante laboratori (</w:t>
      </w:r>
      <w:r>
        <w:rPr>
          <w:i/>
          <w:iCs/>
        </w:rPr>
        <w:t>living-labs</w:t>
      </w:r>
      <w:r>
        <w:rPr/>
        <w:t xml:space="preserve">) di co-design la versione beta della piattaforma digitale </w:t>
      </w:r>
      <w:r>
        <w:rPr>
          <w:i/>
          <w:iCs/>
        </w:rPr>
        <w:t>Hamlet</w:t>
      </w:r>
      <w:r>
        <w:rPr/>
        <w:t xml:space="preserve">. </w:t>
      </w:r>
    </w:p>
    <w:p>
      <w:pPr>
        <w:pStyle w:val="Normal"/>
        <w:jc w:val="both"/>
        <w:rPr/>
      </w:pPr>
      <w:r>
        <w:rPr/>
        <w:t xml:space="preserve">L’individuazione e l’eventuale creazione delle condizioni contestuali più opportune </w:t>
      </w:r>
      <w:r>
        <w:rPr>
          <w:color w:val="000000" w:themeColor="text1"/>
        </w:rPr>
        <w:t>per favorire lo sviluppo di dinamiche relazionali e motivazionali di collaborazione tra le persone passa attraverso anche la validazione degli elementi della piattaforma digitale, la cui funzione e il cui layout modulare devono essere sottoposti allo sguardo e alla valutazione delle persone coinvolte.</w:t>
      </w:r>
    </w:p>
    <w:p>
      <w:pPr>
        <w:pStyle w:val="Normal"/>
        <w:jc w:val="both"/>
        <w:rPr/>
      </w:pPr>
      <w:r>
        <w:rPr/>
        <w:t>La città di Reggio Emilia si presta in modo particolare a una simile sperimentazione, poiché da circa otto anni (con la chiusura delle circoscrizioni per le città al di sotto dei 250 mila abitanti) ha attivato un processo di ingaggio di diversi ambiti territoriali attraverso l’attivazione di accordi e laboratori di cittadinanza che hanno coinvolto soggetti singoli e collettivi in processi partecipativi localizzati e, in prospettiva, attraverso l’attivazione di consulte di quartiere su base elettiva. In questi termini, è presente un livello di coinvolgimento relazionale fisico strutturato e animato da residenti, associazioni e organizzazioni presenti nel quartiere, con il supporto di figure di riferimento della pubblica amministrazione (</w:t>
      </w:r>
      <w:r>
        <w:rPr>
          <w:i/>
          <w:iCs/>
        </w:rPr>
        <w:t>architetti di quartieri</w:t>
      </w:r>
      <w:r>
        <w:rPr/>
        <w:t xml:space="preserve">), che può essere integrato in modo reciproco e funzionale con un livello digitale mediante una piattaforma digitale, capace di: a) coinvolgere </w:t>
      </w:r>
      <w:r>
        <w:rPr>
          <w:i/>
          <w:iCs/>
        </w:rPr>
        <w:t>onlife</w:t>
      </w:r>
      <w:r>
        <w:rPr/>
        <w:t xml:space="preserve"> le persone residenti di un determinato quartiere (</w:t>
      </w:r>
      <w:r>
        <w:rPr>
          <w:i/>
          <w:iCs/>
        </w:rPr>
        <w:t>hamlet</w:t>
      </w:r>
      <w:r>
        <w:rPr/>
        <w:t xml:space="preserve">); b) offrire loro servizi aggregati in un unico ambiente digitale, che svolge la funzione di collettore; c) fornire un valido strumento operativo all’amministrazione comunale per gestire </w:t>
      </w:r>
      <w:r>
        <w:rPr>
          <w:i/>
          <w:iCs/>
        </w:rPr>
        <w:t>onlife</w:t>
      </w:r>
      <w:r>
        <w:rPr/>
        <w:t xml:space="preserve"> i processi di partecipazione, per esempio quelli collegati ai laboratori di cittadinanza.</w:t>
      </w:r>
    </w:p>
    <w:p>
      <w:pPr>
        <w:pStyle w:val="Normal"/>
        <w:jc w:val="both"/>
        <w:rPr/>
      </w:pPr>
      <w:r>
        <w:rPr/>
      </w:r>
    </w:p>
    <w:p>
      <w:pPr>
        <w:pStyle w:val="Normal"/>
        <w:jc w:val="both"/>
        <w:rPr>
          <w:b/>
          <w:b/>
          <w:bCs/>
        </w:rPr>
      </w:pPr>
      <w:r>
        <w:rPr>
          <w:b/>
          <w:bCs/>
        </w:rPr>
        <w:t>Metodo</w:t>
      </w:r>
    </w:p>
    <w:p>
      <w:pPr>
        <w:pStyle w:val="Normal"/>
        <w:jc w:val="both"/>
        <w:rPr/>
      </w:pPr>
      <w:r>
        <w:rPr/>
        <w:t xml:space="preserve">Una volta appurate </w:t>
      </w:r>
      <w:r>
        <w:rPr>
          <w:bCs/>
          <w:iCs/>
        </w:rPr>
        <w:t xml:space="preserve">le finalità di ricerca comuni sull’organizzazione di servizi digitali alla persona in un contesto di welfare di comunità, in modo tale da favorire processi di innovazione sociale all’interno di un ecosistema urbano, il Comune di Reggio Emilia e il Dipartimento di Comunicazione ed Economia procedono all’individuazione dell’ambito territoriale in cui attivare la ricerca e la sperimentazione della piattaforma. Una volta individuato l’ambito territoriale, è opportuno procedere ad una approfondita fase di osservazione del quartiere, per analizzarne caratteristiche, bisogni, peculiarità, servizi, valutando anche la possibilità di creazione di tavoli di confronto. Tale azione serve a creare le condizioni contestuali di base che possano supportare dinamiche relazionali funzionali all’animazione della piattaforma digitale, visto che sia la presenza di un social media di prossimità sia la </w:t>
      </w:r>
      <w:r>
        <w:rPr/>
        <w:t>semplice co-localizzazione di una pluralità di soggetti con risorse, storie, competenze e capacità differenti non garantiscono, di per sé, risorse motivazionali e di coinvolgimento sufficienti. In particolare, le attività di ricerca saranno suddivise secondo i seguenti step:</w:t>
      </w:r>
    </w:p>
    <w:p>
      <w:pPr>
        <w:pStyle w:val="Normal"/>
        <w:jc w:val="both"/>
        <w:rPr/>
      </w:pPr>
      <w:r>
        <w:rPr/>
      </w:r>
    </w:p>
    <w:p>
      <w:pPr>
        <w:pStyle w:val="ListParagraph"/>
        <w:numPr>
          <w:ilvl w:val="0"/>
          <w:numId w:val="4"/>
        </w:numPr>
        <w:jc w:val="both"/>
        <w:rPr/>
      </w:pPr>
      <w:r>
        <w:rPr>
          <w:b/>
          <w:bCs/>
        </w:rPr>
        <w:t>Costituzione del gruppo di sperimentazione</w:t>
      </w:r>
      <w:r>
        <w:rPr/>
        <w:t xml:space="preserve">, al fine di favorire la realizzazione delle attività di ricerca e testing, oltre che favorire un confronto e implementazione delle attività a livello di ricerca, sperimentazione e output, propedeutico alla successiva fase di animazione e gestione della piattaforma digitale. </w:t>
      </w:r>
    </w:p>
    <w:p>
      <w:pPr>
        <w:pStyle w:val="ListParagraph"/>
        <w:jc w:val="both"/>
        <w:rPr/>
      </w:pPr>
      <w:r>
        <w:rPr/>
      </w:r>
    </w:p>
    <w:p>
      <w:pPr>
        <w:pStyle w:val="ListParagraph"/>
        <w:jc w:val="both"/>
        <w:rPr>
          <w:color w:val="000000" w:themeColor="text1"/>
        </w:rPr>
      </w:pPr>
      <w:r>
        <w:rPr>
          <w:i/>
          <w:iCs/>
          <w:color w:val="000000" w:themeColor="text1"/>
          <w:u w:val="single"/>
        </w:rPr>
        <w:t>In dettaglio</w:t>
      </w:r>
      <w:r>
        <w:rPr>
          <w:color w:val="000000" w:themeColor="text1"/>
          <w:u w:val="single"/>
        </w:rPr>
        <w:t>.</w:t>
      </w:r>
      <w:r>
        <w:rPr>
          <w:color w:val="000000" w:themeColor="text1"/>
        </w:rPr>
        <w:t xml:space="preserve"> Il progetto sarà gestito secondo le modalità dell’</w:t>
      </w:r>
      <w:r>
        <w:rPr>
          <w:i/>
          <w:iCs/>
          <w:color w:val="000000" w:themeColor="text1"/>
        </w:rPr>
        <w:t>open innovation</w:t>
      </w:r>
      <w:r>
        <w:rPr>
          <w:color w:val="000000" w:themeColor="text1"/>
        </w:rPr>
        <w:t>, partendo da un gruppo ristretto di persone scelte dal Comune integrato da ricercatori universitari (UniMoRe), persone esperte di progettazione e gestione dei cambiamenti sociali (OpenBox e realtà del territorio), dal team di lavoro del Comune di Reggio Emilia afferente al servizio  da innovatori di organizzazione che supportano il progetto;</w:t>
      </w:r>
    </w:p>
    <w:p>
      <w:pPr>
        <w:pStyle w:val="Normal"/>
        <w:jc w:val="both"/>
        <w:rPr/>
      </w:pPr>
      <w:r>
        <w:rPr/>
      </w:r>
    </w:p>
    <w:p>
      <w:pPr>
        <w:pStyle w:val="ListParagraph"/>
        <w:numPr>
          <w:ilvl w:val="0"/>
          <w:numId w:val="4"/>
        </w:numPr>
        <w:jc w:val="both"/>
        <w:rPr/>
      </w:pPr>
      <w:r>
        <w:rPr>
          <w:b/>
          <w:bCs/>
        </w:rPr>
        <w:t>Individuazione e definizione degli ambiti territoriali di sperimentazione</w:t>
      </w:r>
      <w:r>
        <w:rPr/>
        <w:t>, attraverso il confronto con il Comune di Reggio Emilia per definire il quartiere in cui sperimentare la piattaforma Hamlet, sulla base di livello di ingaggio, tessuto sociale e disponibilità di spazi fisici di riferimento (si consiglia un territorio nella zona del forese e/o un quartiere cittadino);</w:t>
      </w:r>
    </w:p>
    <w:p>
      <w:pPr>
        <w:pStyle w:val="ListParagraph"/>
        <w:jc w:val="both"/>
        <w:rPr/>
      </w:pPr>
      <w:r>
        <w:rPr/>
      </w:r>
    </w:p>
    <w:p>
      <w:pPr>
        <w:pStyle w:val="ListParagraph"/>
        <w:jc w:val="both"/>
        <w:rPr/>
      </w:pPr>
      <w:r>
        <w:rPr>
          <w:i/>
          <w:iCs/>
          <w:u w:val="single"/>
        </w:rPr>
        <w:t>In dettaglio.</w:t>
      </w:r>
      <w:r>
        <w:rPr/>
        <w:t xml:space="preserve"> I quartieri presi in considerazione tengono conto delle peculiarità dell’organizzazione urbana del Comune di Reggio Emilia, in modo da rappresentare le diverse tipologie di aggregati socio-urbani secondo una concezione multiscalare del rapporto tra spazio e interazioni sociali</w:t>
      </w:r>
      <w:r>
        <w:rPr>
          <w:rStyle w:val="Richiamoallanotaapidipagina"/>
        </w:rPr>
        <w:footnoteReference w:id="2"/>
      </w:r>
      <w:r>
        <w:rPr/>
        <w:t>: una frazione e un quartiere urbano, per un totale di due quartieri. In linea di massima, il focus sarà su quartieri in ambito H (Santa Croce) e C (San Bartolomeo e limitrofi). Alla luce delle condizioni contestuali verificate nel corso della fase di mappatura, i quartieri di sperimentazione possono variare (per esempio, si può indirizzare l’attenzione su quartieri in altri ambiti).</w:t>
      </w:r>
    </w:p>
    <w:p>
      <w:pPr>
        <w:pStyle w:val="Normal"/>
        <w:jc w:val="both"/>
        <w:rPr/>
      </w:pPr>
      <w:r>
        <w:rPr/>
      </w:r>
    </w:p>
    <w:p>
      <w:pPr>
        <w:pStyle w:val="ListParagraph"/>
        <w:numPr>
          <w:ilvl w:val="0"/>
          <w:numId w:val="4"/>
        </w:numPr>
        <w:jc w:val="both"/>
        <w:rPr>
          <w:color w:val="000000" w:themeColor="text1"/>
        </w:rPr>
      </w:pPr>
      <w:r>
        <w:rPr>
          <w:b/>
          <w:bCs/>
        </w:rPr>
        <w:t>Mappatura dei soggetti del tessuto connettivo del quartiere</w:t>
      </w:r>
      <w:r>
        <w:rPr/>
        <w:t xml:space="preserve"> (singoli o collettivi, che operano sulle dinamiche relazionali locali), </w:t>
      </w:r>
      <w:r>
        <w:rPr>
          <w:b/>
          <w:bCs/>
        </w:rPr>
        <w:t>degli spazi di socialità e degli</w:t>
      </w:r>
      <w:r>
        <w:rPr/>
        <w:t xml:space="preserve"> </w:t>
      </w:r>
      <w:r>
        <w:rPr>
          <w:b/>
          <w:bCs/>
        </w:rPr>
        <w:t>elementi</w:t>
      </w:r>
      <w:r>
        <w:rPr/>
        <w:t xml:space="preserve"> </w:t>
      </w:r>
      <w:r>
        <w:rPr>
          <w:b/>
          <w:bCs/>
        </w:rPr>
        <w:t>materiali e immateriali dell’identità del luogo</w:t>
      </w:r>
      <w:r>
        <w:rPr/>
        <w:t xml:space="preserve"> che influenzano la percezione di attaccamento; si tratta di un approfondimento </w:t>
      </w:r>
      <w:r>
        <w:rPr>
          <w:i/>
        </w:rPr>
        <w:t>context-specific</w:t>
      </w:r>
      <w:r>
        <w:rPr/>
        <w:t xml:space="preserve"> e </w:t>
      </w:r>
      <w:r>
        <w:rPr>
          <w:i/>
        </w:rPr>
        <w:t>place-based</w:t>
      </w:r>
      <w:r>
        <w:rPr/>
        <w:t xml:space="preserve"> finalizzato a far emergere le caratteristiche contestuali dell’ecosistema locale individuato (</w:t>
      </w:r>
      <w:r>
        <w:rPr>
          <w:color w:val="000000" w:themeColor="text1"/>
        </w:rPr>
        <w:t xml:space="preserve">presenza di volontari da coinvolgere nelle attività; tipologia residenti – studenti, famiglie, presenza di persone a ridotta mobilità, </w:t>
      </w:r>
      <w:r>
        <w:rPr>
          <w:i/>
          <w:iCs/>
          <w:color w:val="000000" w:themeColor="text1"/>
        </w:rPr>
        <w:t>smartworker</w:t>
      </w:r>
      <w:r>
        <w:rPr>
          <w:color w:val="000000" w:themeColor="text1"/>
        </w:rPr>
        <w:t xml:space="preserve">, professionisti, artigiani, ecc.; presenza di esercizi commerciali di prossimità; disponibilità di spazi in un luogo comune da potere dedicare alla sperimentazione). </w:t>
      </w:r>
      <w:r>
        <w:rPr/>
        <w:t>Tale analisi investigherà</w:t>
      </w:r>
      <w:r>
        <w:rPr>
          <w:rFonts w:eastAsia="Courier New"/>
        </w:rPr>
        <w:t xml:space="preserve"> i bisogni espressi della popolazione e</w:t>
      </w:r>
      <w:r>
        <w:rPr/>
        <w:t xml:space="preserve"> mapperà gli stakeholder prioritari. Le azioni specifiche sono:</w:t>
      </w:r>
    </w:p>
    <w:p>
      <w:pPr>
        <w:pStyle w:val="ListParagraph"/>
        <w:numPr>
          <w:ilvl w:val="1"/>
          <w:numId w:val="4"/>
        </w:numPr>
        <w:ind w:left="1440" w:right="-1" w:hanging="360"/>
        <w:jc w:val="both"/>
        <w:rPr>
          <w:lang w:eastAsia="zh-CN" w:bidi="hi-IN"/>
        </w:rPr>
      </w:pPr>
      <w:r>
        <w:rPr>
          <w:lang w:eastAsia="zh-CN" w:bidi="hi-IN"/>
        </w:rPr>
        <w:t>Ricerca desk della presenza di realtà organizzate e spazi di socialità nel quartiere;</w:t>
      </w:r>
    </w:p>
    <w:p>
      <w:pPr>
        <w:pStyle w:val="ListParagraph"/>
        <w:numPr>
          <w:ilvl w:val="1"/>
          <w:numId w:val="4"/>
        </w:numPr>
        <w:ind w:left="1440" w:right="-1" w:hanging="360"/>
        <w:jc w:val="both"/>
        <w:rPr>
          <w:lang w:eastAsia="zh-CN" w:bidi="hi-IN"/>
        </w:rPr>
      </w:pPr>
      <w:r>
        <w:rPr>
          <w:lang w:eastAsia="zh-CN" w:bidi="hi-IN"/>
        </w:rPr>
        <w:t>Ricognizione desk della presenza di attività e attori (associazioni, organizzazioni, enti pubblici) operativi nel quartiere;</w:t>
      </w:r>
    </w:p>
    <w:p>
      <w:pPr>
        <w:pStyle w:val="ListParagraph"/>
        <w:numPr>
          <w:ilvl w:val="1"/>
          <w:numId w:val="4"/>
        </w:numPr>
        <w:ind w:left="1440" w:right="-1" w:hanging="360"/>
        <w:jc w:val="both"/>
        <w:rPr>
          <w:color w:val="000000" w:themeColor="text1"/>
          <w:lang w:eastAsia="zh-CN" w:bidi="hi-IN"/>
        </w:rPr>
      </w:pPr>
      <w:r>
        <w:rPr>
          <w:lang w:eastAsia="zh-CN" w:bidi="hi-IN"/>
        </w:rPr>
        <w:t xml:space="preserve">Ricerca su banche dati disponibili online (a partire dal sito web del Comune di Reggio Emilia) e/o opportunamente fornite dal Comune di report, schede progetto e iniziative attivate/attive nel quartiere, a partire dalle attività dei Laboratori di cittadinanza. </w:t>
      </w:r>
    </w:p>
    <w:p>
      <w:pPr>
        <w:pStyle w:val="ListParagraph"/>
        <w:ind w:left="1440" w:right="-1" w:hanging="0"/>
        <w:jc w:val="both"/>
        <w:rPr>
          <w:color w:val="000000" w:themeColor="text1"/>
          <w:lang w:eastAsia="zh-CN" w:bidi="hi-IN"/>
        </w:rPr>
      </w:pPr>
      <w:r>
        <w:rPr>
          <w:color w:val="000000" w:themeColor="text1"/>
          <w:lang w:eastAsia="zh-CN" w:bidi="hi-IN"/>
        </w:rPr>
      </w:r>
    </w:p>
    <w:p>
      <w:pPr>
        <w:pStyle w:val="Normal"/>
        <w:ind w:left="720" w:right="-1" w:hanging="0"/>
        <w:jc w:val="both"/>
        <w:rPr>
          <w:color w:val="000000" w:themeColor="text1"/>
          <w:lang w:eastAsia="zh-CN" w:bidi="hi-IN"/>
        </w:rPr>
      </w:pPr>
      <w:r>
        <w:rPr>
          <w:i/>
          <w:iCs/>
          <w:u w:val="single"/>
        </w:rPr>
        <w:t>In dettaglio.</w:t>
      </w:r>
      <w:r>
        <w:rPr/>
        <w:t xml:space="preserve"> La fase di mappatura prevede come output un documento di sintesi che identifica persone, organizzazioni e luoghi di riferimento, andando a stilare un quadro dell’ecosistema socio-spaziale dei due quartieri, sulla base del quale si imposta la fase successiva di ricerca-azione.</w:t>
      </w:r>
    </w:p>
    <w:p>
      <w:pPr>
        <w:pStyle w:val="Normal"/>
        <w:ind w:left="720" w:right="-1" w:hanging="0"/>
        <w:jc w:val="both"/>
        <w:rPr>
          <w:color w:val="000000" w:themeColor="text1"/>
          <w:lang w:eastAsia="zh-CN" w:bidi="hi-IN"/>
        </w:rPr>
      </w:pPr>
      <w:r>
        <w:rPr>
          <w:color w:val="000000" w:themeColor="text1"/>
          <w:lang w:eastAsia="zh-CN" w:bidi="hi-IN"/>
        </w:rPr>
      </w:r>
    </w:p>
    <w:p>
      <w:pPr>
        <w:pStyle w:val="ListParagraph"/>
        <w:numPr>
          <w:ilvl w:val="0"/>
          <w:numId w:val="4"/>
        </w:numPr>
        <w:jc w:val="both"/>
        <w:rPr/>
      </w:pPr>
      <w:r>
        <w:rPr>
          <w:b/>
          <w:bCs/>
          <w:color w:val="000000" w:themeColor="text1"/>
        </w:rPr>
        <w:t>Attività di ricerca-azione</w:t>
      </w:r>
      <w:r>
        <w:rPr>
          <w:color w:val="000000" w:themeColor="text1"/>
        </w:rPr>
        <w:t xml:space="preserve">, con osservazione in loco del quartiere scelto per la sperimentazione e contatto dei soggetti mappati nella fase precedente per organizzare interviste finalizzate a raccogliere bisogni e punti di vista relativi all’utilizzo degli strumenti digitali. Si tratta di un </w:t>
      </w:r>
      <w:r>
        <w:rPr/>
        <w:t xml:space="preserve">percorso di ascolto e rilevazione (mediante interviste semi-strutturate, osservazioni etnografiche e incontro con associazioni) per valorizzare </w:t>
      </w:r>
    </w:p>
    <w:p>
      <w:pPr>
        <w:pStyle w:val="ListParagraph"/>
        <w:jc w:val="both"/>
        <w:rPr>
          <w:rFonts w:eastAsia="Courier New"/>
        </w:rPr>
      </w:pPr>
      <w:r>
        <w:rPr>
          <w:color w:val="000000" w:themeColor="text1"/>
        </w:rPr>
        <w:t xml:space="preserve">e </w:t>
      </w:r>
      <w:r>
        <w:rPr/>
        <w:t xml:space="preserve">mettere a sistema, in un’ottica di reciprocità, le diversità di capitale sociale e di bisogni di un ecosistema di quartiere. In questa direzione, diventa centrale adottare un approccio multi-stakeholder che permetta di soddisfare il complesso insieme di esigenze e aspettative, aprendo un confronto che possa far emergere una varietà di idee progettuali, </w:t>
      </w:r>
      <w:r>
        <w:rPr>
          <w:rFonts w:eastAsia="Courier New"/>
        </w:rPr>
        <w:t xml:space="preserve">punti di vista, segnalazioni e bisogni. </w:t>
      </w:r>
      <w:r>
        <w:rPr/>
        <w:t xml:space="preserve">Questo aspetto permette di favorire l’allineamento tra ente committente, ricercatori e sperimentatori. Inoltre, aiuta a facilitare la creazione di un’atmosfera di fiducia e collaborazione che favorisca lo scambio di informazioni e conoscenze complesse, la definizione di regole di condotta condivise, lo sviluppo di iniziative congiunte e, in ultima istanza, il maggiore coinvolgimento dei diversi stakeholder. Per farlo, è importante coinvolgere gli intermediari sociali del quartiere affinché siano consapevoli delle ricadute positive dell’intervento e ne siano protagonisti attivi, senza così generare una distanza critica al progetto stesso, ma piuttosto un allineamento e un sostegno ad esso. Tale step prevede la raccolta di istanze, idee, considerazioni e opinioni sulla situazione del quartiere, su necessità e indicazioni relative al livello di socialità e al ruolo delle piattaforme digitali. A tal fine, è possibile adottare un mix di metodologie di raccolta dati combinando interviste </w:t>
      </w:r>
      <w:r>
        <w:rPr>
          <w:iCs/>
        </w:rPr>
        <w:t>a</w:t>
      </w:r>
      <w:r>
        <w:rPr/>
        <w:t xml:space="preserve"> singoli o a gruppi di singoli. Il numero complessivo di interviste e focus-group dipende dal numero di intermediari individuati e sarà concordato con i committenti. In parallelo alle interviste, si procederà con una attività di osservazione etnografica delle attività organizzate nel quartiere (iniziative, riunioni istituzionali, gruppi di lavoro, attività di progetto, ecc.) per fornire anche un quadro d’insieme delle dinamiche socio-relazionali effettivamente presenti. Oltre ad essere due fondamentali strumenti di raccolta dati, interviste e focus-group rappresentano anche un importante strumento di informazione-mirata sul progetto. In altri termini, il contatto tramite interviste e ai focus-group funzionerà direttamente da stimolo di una prima partecipazione diretta e da tramite per aumentare il coinvolgimento</w:t>
      </w:r>
      <w:r>
        <w:rPr>
          <w:i/>
        </w:rPr>
        <w:t xml:space="preserve"> </w:t>
      </w:r>
      <w:r>
        <w:rPr/>
        <w:t xml:space="preserve">nel progetto. Le riunioni, gli incontri dei gruppi di lavoro, le interviste e i focus-group saranno, laddove possibile previa autorizzazione, registrati in modalità audio (il file audio sarà gestito in assoluto rispetto della privacy ai fini esclusivi di avere una traccia per meglio riproporre il resoconto della riunione ai fini della ricerca); comunque, il ricercatore produrrà una serie di annotazioni funzionali all’attività di ricerca. Visto il lavoro di mappatura e coinvolgimento delle realtà di quartiere compiuto dal Comune di Reggio Emilia, la fase di ricerca-azione terrà in considerazione le indicazioni e le risorse relazionali fornite dal committente, sviluppate mediante le attività degli accordi e dei laboratori di cittadinaza. </w:t>
      </w:r>
      <w:r>
        <w:rPr>
          <w:szCs w:val="28"/>
        </w:rPr>
        <w:t>Nello specifico, si intende realizzare almeno 20 interviste e 4 focus group di massimo 6-10 persone per quartiere.</w:t>
      </w:r>
      <w:r>
        <w:rPr>
          <w:rFonts w:eastAsia="Courier New"/>
        </w:rPr>
        <w:t xml:space="preserve"> Le azioni che saranno implementate sono le seguenti.</w:t>
      </w:r>
    </w:p>
    <w:p>
      <w:pPr>
        <w:pStyle w:val="ListParagraph"/>
        <w:jc w:val="both"/>
        <w:rPr>
          <w:rFonts w:eastAsia="Courier New"/>
        </w:rPr>
      </w:pPr>
      <w:r>
        <w:rPr>
          <w:rFonts w:eastAsia="Courier New"/>
        </w:rPr>
      </w:r>
    </w:p>
    <w:p>
      <w:pPr>
        <w:pStyle w:val="ListParagraph"/>
        <w:numPr>
          <w:ilvl w:val="0"/>
          <w:numId w:val="2"/>
        </w:numPr>
        <w:ind w:left="1068" w:right="-1" w:hanging="360"/>
        <w:jc w:val="both"/>
        <w:rPr/>
      </w:pPr>
      <w:r>
        <w:rPr>
          <w:rFonts w:eastAsia="Courier New"/>
          <w:b/>
          <w:bCs/>
        </w:rPr>
        <w:t>Somministrazione di un questionario</w:t>
      </w:r>
      <w:r>
        <w:rPr>
          <w:rFonts w:eastAsia="Courier New"/>
        </w:rPr>
        <w:t xml:space="preserve"> relativo all’utilizzo degli strumenti digitali, all’accesso ai servizi digitali e all’impatto sociale delle piattaforme digitali a partire dalla rete di contatti costruita mediante la mappatura iniziale;</w:t>
      </w:r>
    </w:p>
    <w:p>
      <w:pPr>
        <w:pStyle w:val="Normal"/>
        <w:ind w:left="1068" w:right="-1" w:hanging="0"/>
        <w:jc w:val="both"/>
        <w:rPr/>
      </w:pPr>
      <w:r>
        <w:rPr/>
      </w:r>
    </w:p>
    <w:p>
      <w:pPr>
        <w:pStyle w:val="Normal"/>
        <w:ind w:left="1068" w:right="-1" w:hanging="0"/>
        <w:jc w:val="both"/>
        <w:rPr/>
      </w:pPr>
      <w:r>
        <w:rPr>
          <w:i/>
          <w:iCs/>
          <w:u w:val="single"/>
        </w:rPr>
        <w:t>In dettaglio.</w:t>
      </w:r>
      <w:r>
        <w:rPr/>
        <w:t xml:space="preserve"> Il questionario è realizzato attraverso Google Moduli e gestito dal referente della ricerca. Viene inviato a vari soggetti attraverso mail, contatti telefonici e profili social coerenti con il bacino di utenza del contesto territoriale specifico. Il questionario può essere compilato in forma più o meno anonima ed è il primo asset per raccogliere informazioni sulla fruizione di servizi digitale e la percezione del rapporto tra dimensione fisica e digitale delle relazioni sociali, oltre che a coinvolgere persone per la prima volta o che sono già attive all’interno dei laboratori di cittadinanza. Il questionario è disponibile al link seguente: </w:t>
      </w:r>
    </w:p>
    <w:p>
      <w:pPr>
        <w:pStyle w:val="Normal"/>
        <w:ind w:left="1068" w:right="-1" w:hanging="0"/>
        <w:jc w:val="both"/>
        <w:rPr/>
      </w:pPr>
      <w:r>
        <w:rPr/>
        <w:t>https://docs.google.com/forms/d/e/1FAIpQLSdFXHYrK5KZ_IoZjtOH_WikM-KVS7xFe99g1NP3S3-EKLU0Ag/viewform?usp=sf_link</w:t>
      </w:r>
    </w:p>
    <w:p>
      <w:pPr>
        <w:pStyle w:val="Normal"/>
        <w:jc w:val="both"/>
        <w:rPr/>
      </w:pPr>
      <w:r>
        <w:rPr/>
      </w:r>
    </w:p>
    <w:p>
      <w:pPr>
        <w:pStyle w:val="ListParagraph"/>
        <w:numPr>
          <w:ilvl w:val="0"/>
          <w:numId w:val="2"/>
        </w:numPr>
        <w:ind w:left="1068" w:right="-1" w:hanging="360"/>
        <w:jc w:val="both"/>
        <w:rPr/>
      </w:pPr>
      <w:r>
        <w:rPr>
          <w:b/>
          <w:bCs/>
        </w:rPr>
        <w:t>Interviste a soggetti singoli</w:t>
      </w:r>
      <w:r>
        <w:rPr/>
        <w:t xml:space="preserve"> (residenti) o </w:t>
      </w:r>
      <w:r>
        <w:rPr>
          <w:b/>
          <w:bCs/>
        </w:rPr>
        <w:t>collettivi</w:t>
      </w:r>
      <w:r>
        <w:rPr/>
        <w:t xml:space="preserve"> (associazioni) </w:t>
      </w:r>
      <w:r>
        <w:rPr>
          <w:rFonts w:eastAsia="Courier New"/>
        </w:rPr>
        <w:t xml:space="preserve">su </w:t>
      </w:r>
      <w:r>
        <w:rPr/>
        <w:t xml:space="preserve">istanze, fabbisogni, temi, potenzialità e problemi relativi ai bisogni digitali. Le interviste saranno snelle, su base conversazionale, e seguiranno un protocollo informale di domande condiviso con il committente e definito alla luce dei risultati della mappatura e degli obiettivi dell’attività di ricerca. </w:t>
      </w:r>
      <w:r>
        <w:rPr>
          <w:rFonts w:eastAsia="Courier New"/>
        </w:rPr>
        <w:t xml:space="preserve">I </w:t>
      </w:r>
      <w:r>
        <w:rPr>
          <w:rFonts w:eastAsia="Courier New"/>
          <w:i/>
          <w:iCs/>
        </w:rPr>
        <w:t>key-informants</w:t>
      </w:r>
      <w:r>
        <w:rPr>
          <w:rFonts w:eastAsia="Courier New"/>
        </w:rPr>
        <w:t xml:space="preserve"> saranno individuati sulla base delle indicazioni del committente, dei risultati della mappatura e attraverso il metodo </w:t>
      </w:r>
      <w:r>
        <w:rPr>
          <w:rFonts w:eastAsia="Courier New"/>
          <w:i/>
        </w:rPr>
        <w:t>snowball</w:t>
      </w:r>
      <w:r>
        <w:rPr>
          <w:rFonts w:eastAsia="Courier New"/>
        </w:rPr>
        <w:t xml:space="preserve">, </w:t>
      </w:r>
      <w:r>
        <w:rPr/>
        <w:t xml:space="preserve">chiedendo cioè a ogni intervistato di indicare ulteriori persone o associazioni che possono essere coinvolte nella ricerca. </w:t>
      </w:r>
      <w:r>
        <w:rPr>
          <w:rFonts w:eastAsia="Courier New"/>
        </w:rPr>
        <w:t>Tale fase è funzionale all’</w:t>
      </w:r>
      <w:r>
        <w:rPr>
          <w:rFonts w:eastAsia="Courier New"/>
          <w:i/>
          <w:iCs/>
        </w:rPr>
        <w:t xml:space="preserve">on-boarding </w:t>
      </w:r>
      <w:r>
        <w:rPr>
          <w:rFonts w:eastAsia="Courier New"/>
        </w:rPr>
        <w:t>delle persone sulla piattaforma, per il coinvolgimento nei focus-group, per l</w:t>
      </w:r>
      <w:r>
        <w:rPr/>
        <w:t>e attività di animazione della piattaforma</w:t>
      </w:r>
    </w:p>
    <w:p>
      <w:pPr>
        <w:pStyle w:val="Normal"/>
        <w:ind w:right="-1" w:hanging="0"/>
        <w:jc w:val="both"/>
        <w:rPr/>
      </w:pPr>
      <w:r>
        <w:rPr/>
      </w:r>
    </w:p>
    <w:p>
      <w:pPr>
        <w:pStyle w:val="Normal"/>
        <w:ind w:left="1068" w:right="-1" w:hanging="0"/>
        <w:jc w:val="both"/>
        <w:rPr/>
      </w:pPr>
      <w:r>
        <w:rPr>
          <w:i/>
          <w:iCs/>
          <w:u w:val="single"/>
        </w:rPr>
        <w:t>In dettaglio.</w:t>
      </w:r>
      <w:r>
        <w:rPr/>
        <w:t xml:space="preserve"> Questa fase intende approfondire la conoscenza dei soggetti e delle organizzazioni di riferimento dei quartieri coinvolti nella sperimentazione, e in particolare la loro rete sociale, attraverso interviste singole o collettive. Persone e organizzazioni sono individuate a partire dalla mappatura, sulla base dei soggetti coinvolti negli accordi e nei laboratori di cittadinanza. Per ogni quartiere, le interviste di circa 45 minuti coinvolgeranno da un minimo di 10 a un massimo di 15 persone, in presenza o online, opportunamente trascritte e/o registrate (per esigenze dettate dall’attività di ricerca, è possibile realizzare più focus group se ritenuto opportuno). </w:t>
      </w:r>
      <w:r>
        <w:rPr>
          <w:rFonts w:eastAsia="Courier New"/>
        </w:rPr>
        <w:t>Il protocollo delle interviste si focalizza sui seguenti argomenti: a) profilo dell’intervistato; b) temi, bisogni sociali e aspettative relative alla socialità del quartiere; c) dinamiche collaborative e solidali tra intermediatori sociali attivi nel quartiere; d) possibile funzione di una piattaforma digitale per rispondere ai bisogni del quartiere o di un’associazione; e) persone e organizzazioni da coinvolgere nella sperimentazione.</w:t>
      </w:r>
    </w:p>
    <w:p>
      <w:pPr>
        <w:pStyle w:val="Normal"/>
        <w:ind w:right="-1" w:hanging="0"/>
        <w:jc w:val="both"/>
        <w:rPr/>
      </w:pPr>
      <w:r>
        <w:rPr/>
      </w:r>
    </w:p>
    <w:p>
      <w:pPr>
        <w:pStyle w:val="ListParagraph"/>
        <w:numPr>
          <w:ilvl w:val="0"/>
          <w:numId w:val="2"/>
        </w:numPr>
        <w:ind w:left="1068" w:right="-1" w:hanging="360"/>
        <w:jc w:val="both"/>
        <w:rPr/>
      </w:pPr>
      <w:r>
        <w:rPr>
          <w:b/>
          <w:bCs/>
        </w:rPr>
        <w:t xml:space="preserve">Organizzazione e realizzazione di focus-group di co-design con residenti </w:t>
      </w:r>
      <w:r>
        <w:rPr/>
        <w:t xml:space="preserve">che integrano il metodo Delphi, un metodo di indagine iterativo </w:t>
      </w:r>
      <w:r>
        <w:rPr>
          <w:color w:val="202122"/>
          <w:shd w:fill="FFFFFF" w:val="clear"/>
        </w:rPr>
        <w:t>che si svolge attraverso più fasi di espressione, condivisione e confronto delle opinioni di un gruppo di esperti o attori sociali con l’obiettivo di convergere verso la definizione il più possibile completa di elementi utili a disegnare un determinato servizio. I focus-group dureranno</w:t>
      </w:r>
      <w:r>
        <w:rPr/>
        <w:t xml:space="preserve"> circa 60/90 minuti ciascuno, durante i quali un gruppo di 6-10 di soggetti (residenti, rappresentanti di associazioni, </w:t>
      </w:r>
      <w:r>
        <w:rPr>
          <w:i/>
          <w:iCs/>
        </w:rPr>
        <w:t>key-informants</w:t>
      </w:r>
      <w:r>
        <w:rPr/>
        <w:t xml:space="preserve">, intermediari sociali) sarà impegnato nella discussione di temi/argomenti adeguatamente formulati dal conduttore relativi ai bisogni relazionali e alle funzionalità della piattaforma digitale; i partecipanti al gruppo saranno individuati mediante i </w:t>
      </w:r>
      <w:r>
        <w:rPr>
          <w:i/>
          <w:iCs/>
        </w:rPr>
        <w:t>findings</w:t>
      </w:r>
      <w:r>
        <w:rPr/>
        <w:t xml:space="preserve"> delle precedenti fasi (mappatura, interviste e questionario). In questa fase, i focus-group permettono di far vivere alle persone coinvolte una esperienza mirata attraverso un mock-up interattivo della piattaforma digitale, con monitoraggio delle reazioni e raccolta dei feedback. </w:t>
      </w:r>
    </w:p>
    <w:p>
      <w:pPr>
        <w:pStyle w:val="Normal"/>
        <w:ind w:right="-1" w:hanging="0"/>
        <w:jc w:val="both"/>
        <w:rPr/>
      </w:pPr>
      <w:r>
        <w:rPr/>
      </w:r>
    </w:p>
    <w:p>
      <w:pPr>
        <w:pStyle w:val="Normal"/>
        <w:ind w:left="1068" w:right="-1" w:hanging="0"/>
        <w:jc w:val="both"/>
        <w:rPr/>
      </w:pPr>
      <w:r>
        <w:rPr>
          <w:i/>
          <w:iCs/>
          <w:u w:val="single"/>
        </w:rPr>
        <w:t>In dettaglio.</w:t>
      </w:r>
      <w:r>
        <w:rPr/>
        <w:t xml:space="preserve"> I focus group sono dedicati alla relazione tra bisogni di quartiere, servizi digitali e funzionalità della piattaforma digitale. Per ogni quartiere, si realizzeranno 4 focus group con 6/10 persone, individuate attraverso la mappatura, la somministrazione del questionari, la fase di interviste e un’attività promozionale specifica. Inoltre, si realizzeranno almeno 1 focus group dedicato solo a operatori/operatrici della pubblica del Comune di Reggio Emilia e 2 focus group che coinvolgono soggetti attivi nel campo dell’innovazione sociale e digitale (per esigenze dettate dall’attività di ricerca, è possibile realizzare più focus group se ritenuto opportuno). </w:t>
      </w:r>
    </w:p>
    <w:p>
      <w:pPr>
        <w:pStyle w:val="Normal"/>
        <w:ind w:right="-1" w:hanging="0"/>
        <w:jc w:val="both"/>
        <w:rPr/>
      </w:pPr>
      <w:r>
        <w:rPr/>
      </w:r>
    </w:p>
    <w:p>
      <w:pPr>
        <w:pStyle w:val="ListParagraph"/>
        <w:numPr>
          <w:ilvl w:val="0"/>
          <w:numId w:val="2"/>
        </w:numPr>
        <w:ind w:left="1068" w:right="-1" w:hanging="360"/>
        <w:jc w:val="both"/>
        <w:rPr/>
      </w:pPr>
      <w:r>
        <w:rPr>
          <w:b/>
          <w:bCs/>
        </w:rPr>
        <w:t xml:space="preserve">Organizzazione e realizzazione di focus-group di co-design con persone del Comune di Reggio Emilia (e/o coinvolte da esso) </w:t>
      </w:r>
      <w:r>
        <w:rPr/>
        <w:t xml:space="preserve">che integrano il metodo Delphi, un metodo di indagine iterativo </w:t>
      </w:r>
      <w:r>
        <w:rPr>
          <w:color w:val="202122"/>
          <w:shd w:fill="FFFFFF" w:val="clear"/>
        </w:rPr>
        <w:t>che si svolge attraverso più fasi di espressione, condivisione e confronto delle opinioni di dipendenti comunali (</w:t>
      </w:r>
      <w:r>
        <w:rPr/>
        <w:t>coinvolte nelle politiche di animazione e partecipazione dei quartieri, o legate a servizi di relazione con il pubblico considerati rilevanti dal committente)</w:t>
      </w:r>
      <w:r>
        <w:rPr>
          <w:color w:val="202122"/>
          <w:shd w:fill="FFFFFF" w:val="clear"/>
        </w:rPr>
        <w:t xml:space="preserve"> con l’obiettivo di convergere verso la definizione il più possibile completa di elementi utili a disegnare un determinato servizio. I focus-group dureranno</w:t>
      </w:r>
      <w:r>
        <w:rPr/>
        <w:t xml:space="preserve"> circa 60/90 minuti ciascuno, durante i quali un gruppo di 6-10 soggetti sarà impegnato nella discussione di temi/argomenti adeguatamente formulati dal conduttore relativi ai bisogni relazionali e alle funzionalità della piattaforma digitale. In questa fase, i focus-group permettono di far vivere alle persone coinvolte una esperienza mirata attraverso un mock-up interattivo della piattaforma digitale, con monitoraggio delle reazioni e raccolta dei feedback. </w:t>
      </w:r>
    </w:p>
    <w:p>
      <w:pPr>
        <w:pStyle w:val="Normal"/>
        <w:ind w:right="-1" w:hanging="0"/>
        <w:jc w:val="both"/>
        <w:rPr/>
      </w:pPr>
      <w:r>
        <w:rPr/>
      </w:r>
    </w:p>
    <w:p>
      <w:pPr>
        <w:pStyle w:val="Normal"/>
        <w:ind w:left="1068" w:right="-1" w:hanging="0"/>
        <w:jc w:val="both"/>
        <w:rPr/>
      </w:pPr>
      <w:r>
        <w:rPr>
          <w:i/>
          <w:iCs/>
          <w:u w:val="single"/>
        </w:rPr>
        <w:t>In dettaglio.</w:t>
      </w:r>
      <w:r>
        <w:rPr/>
        <w:t xml:space="preserve"> I focus group sono dedicati alla relazione tra bisogni di quartiere, servizi digitali e funzionalità della piattaforma digitale. Si realizzeranno almeno 1 focus group dedicato solo a operatori/operatrici della pubblica del Comune di Reggio Emilia e 2 focus group che coinvolgono soggetti attivi nel campo dell’innovazione sociale e digitale (per esigenze dettate dall’attività di ricerca, è possibile realizzare più focus group se ritenuto opportuno). Tali soggetti saranno, inoltre, invitati nei focus group organizzati nei quartieri.</w:t>
      </w:r>
    </w:p>
    <w:p>
      <w:pPr>
        <w:pStyle w:val="Normal"/>
        <w:ind w:right="-1" w:hanging="0"/>
        <w:jc w:val="both"/>
        <w:rPr/>
      </w:pPr>
      <w:r>
        <w:rPr/>
      </w:r>
    </w:p>
    <w:p>
      <w:pPr>
        <w:pStyle w:val="ListParagraph"/>
        <w:numPr>
          <w:ilvl w:val="0"/>
          <w:numId w:val="2"/>
        </w:numPr>
        <w:ind w:left="1068" w:right="-1" w:hanging="360"/>
        <w:jc w:val="both"/>
        <w:rPr/>
      </w:pPr>
      <w:r>
        <w:rPr>
          <w:rFonts w:eastAsia="Courier New"/>
          <w:b/>
          <w:bCs/>
        </w:rPr>
        <w:t xml:space="preserve">Attivazione del profilo sulla piattaforma </w:t>
      </w:r>
      <w:r>
        <w:rPr>
          <w:rFonts w:eastAsia="Courier New"/>
          <w:b/>
          <w:bCs/>
          <w:i/>
          <w:iCs/>
        </w:rPr>
        <w:t>Hamlet</w:t>
      </w:r>
      <w:r>
        <w:rPr>
          <w:rFonts w:eastAsia="Courier New"/>
        </w:rPr>
        <w:t xml:space="preserve"> per accompagnare la fase di ricerca-azione e coinvolgere gli utenti in un processo di on-boarding, con l’avvio della creazione, animazione e gestione della community (che si protrarrà per diverse fasi successive della sperimentazione);</w:t>
      </w:r>
    </w:p>
    <w:p>
      <w:pPr>
        <w:pStyle w:val="Normal"/>
        <w:ind w:right="-1" w:hanging="0"/>
        <w:jc w:val="both"/>
        <w:rPr/>
      </w:pPr>
      <w:r>
        <w:rPr/>
      </w:r>
    </w:p>
    <w:p>
      <w:pPr>
        <w:pStyle w:val="Normal"/>
        <w:ind w:left="1068" w:right="-1" w:hanging="0"/>
        <w:jc w:val="both"/>
        <w:rPr/>
      </w:pPr>
      <w:r>
        <w:rPr>
          <w:i/>
          <w:iCs/>
          <w:u w:val="single"/>
        </w:rPr>
        <w:t>In dettaglio.</w:t>
      </w:r>
      <w:r>
        <w:rPr/>
        <w:t xml:space="preserve"> Questa fase prevede di guidare i soggetti coinvolti nelle interviste ei focus group nel percorso di on-boarding della piattaforma; ovvero, al termine delle interviste dei focus-group si procede a registrare le persone sulla piattaforma.</w:t>
      </w:r>
    </w:p>
    <w:p>
      <w:pPr>
        <w:pStyle w:val="ListParagraph"/>
        <w:ind w:left="1068" w:right="-1" w:hanging="0"/>
        <w:jc w:val="both"/>
        <w:rPr/>
      </w:pPr>
      <w:r>
        <w:rPr/>
      </w:r>
    </w:p>
    <w:p>
      <w:pPr>
        <w:pStyle w:val="ListParagraph"/>
        <w:numPr>
          <w:ilvl w:val="0"/>
          <w:numId w:val="4"/>
        </w:numPr>
        <w:jc w:val="both"/>
        <w:rPr/>
      </w:pPr>
      <w:r>
        <w:rPr>
          <w:b/>
          <w:bCs/>
        </w:rPr>
        <w:t>Organizzazione di un evento di vicinato</w:t>
      </w:r>
      <w:r>
        <w:rPr/>
        <w:t>; per mettere in luce come può essere utilizzata una piattaforma digitale per facilitare la dimensione fisica delle relazioni, si intende organizzare un evento capace di aggregare diverse realtà esistenti in un determinato ecosistema locale, oltre che allargare il coinvolgimento delle persone residenti nel quartiere di riferimento Fattibilità, strutturazione e modalità di organizzazione e realizzzazione dell’evento saranno valutati nel corso della ricerca-azione.</w:t>
      </w:r>
    </w:p>
    <w:p>
      <w:pPr>
        <w:pStyle w:val="ListParagraph"/>
        <w:jc w:val="both"/>
        <w:rPr/>
      </w:pPr>
      <w:r>
        <w:rPr/>
      </w:r>
    </w:p>
    <w:p>
      <w:pPr>
        <w:pStyle w:val="ListParagraph"/>
        <w:numPr>
          <w:ilvl w:val="0"/>
          <w:numId w:val="4"/>
        </w:numPr>
        <w:jc w:val="both"/>
        <w:rPr/>
      </w:pPr>
      <w:r>
        <w:rPr>
          <w:b/>
          <w:bCs/>
          <w:color w:val="000000" w:themeColor="text1"/>
        </w:rPr>
        <w:t xml:space="preserve">Fase di analisi e accompagnamento verso l’animazione della piattaforma </w:t>
      </w:r>
      <w:r>
        <w:rPr>
          <w:b/>
          <w:bCs/>
          <w:i/>
          <w:iCs/>
          <w:color w:val="000000" w:themeColor="text1"/>
        </w:rPr>
        <w:t>Hamlet</w:t>
      </w:r>
      <w:r>
        <w:rPr>
          <w:color w:val="000000" w:themeColor="text1"/>
        </w:rPr>
        <w:t xml:space="preserve">. </w:t>
      </w:r>
      <w:r>
        <w:rPr/>
        <w:t xml:space="preserve">Il materiale raccolto nelle fasi precedenti verrà analizzato secondo modalità tipiche della ricerca qualitativa: con consolidate metodologie di analisi e frame analitici si cercherà di “triangolare” prospettive e punti di vista differenti. L’analisi permetterà di ottenere degli indicatori per impostare il lavoro di coordinamento, gestione e animazione della piattaforma. I risultati delle analisi saranno presentati attraverso presentazioni in Power Point e mediante una relazione finale. </w:t>
      </w:r>
      <w:r>
        <w:rPr>
          <w:rFonts w:eastAsia="Courier New"/>
        </w:rPr>
        <w:t>Le azioni che saranno implementate sono le seguenti:</w:t>
      </w:r>
    </w:p>
    <w:p>
      <w:pPr>
        <w:pStyle w:val="ListParagraph"/>
        <w:numPr>
          <w:ilvl w:val="0"/>
          <w:numId w:val="1"/>
        </w:numPr>
        <w:ind w:left="1068" w:right="-1" w:hanging="360"/>
        <w:jc w:val="both"/>
        <w:rPr/>
      </w:pPr>
      <w:r>
        <w:rPr/>
        <w:t xml:space="preserve">Analisi del materiale raccolto durante interviste e focus-group per far emergere temi di interesse trasversale, </w:t>
      </w:r>
      <w:r>
        <w:rPr>
          <w:rFonts w:eastAsia="Courier New"/>
        </w:rPr>
        <w:t>necessità specifiche,</w:t>
      </w:r>
      <w:r>
        <w:rPr/>
        <w:t xml:space="preserve"> target di utenza e beneficiari, indicazioni sui possibili metodi di lavoro e di coinvolgimento degli stakeholder nelle successive fasi di animazione;</w:t>
      </w:r>
    </w:p>
    <w:p>
      <w:pPr>
        <w:pStyle w:val="ListParagraph"/>
        <w:numPr>
          <w:ilvl w:val="0"/>
          <w:numId w:val="1"/>
        </w:numPr>
        <w:ind w:left="1068" w:right="-1" w:hanging="360"/>
        <w:jc w:val="both"/>
        <w:rPr/>
      </w:pPr>
      <w:r>
        <w:rPr/>
        <w:t xml:space="preserve">Elaborazione di una sorta di </w:t>
      </w:r>
      <w:r>
        <w:rPr>
          <w:i/>
          <w:iCs/>
        </w:rPr>
        <w:t>to-do</w:t>
      </w:r>
      <w:r>
        <w:rPr/>
        <w:t xml:space="preserve"> list funzionale alla gestione e animazione della piattaforma, finalizzata all’eventuale implementazione e scalabilità in altri ambiti territoriali della città, oltre che all’integrazione della piattaforma ai servizi della pubblica amministrazione, a partire dalle attività di partecipazione civica;</w:t>
      </w:r>
    </w:p>
    <w:p>
      <w:pPr>
        <w:pStyle w:val="ListParagraph"/>
        <w:numPr>
          <w:ilvl w:val="0"/>
          <w:numId w:val="1"/>
        </w:numPr>
        <w:ind w:left="1068" w:right="-1" w:hanging="360"/>
        <w:jc w:val="both"/>
        <w:rPr/>
      </w:pPr>
      <w:r>
        <w:rPr/>
        <w:t xml:space="preserve">Outreach con presentazione dei dati raccolti nella fase di mappatura e di ricerca-azione, cioè realizzazione di un evento che può svolgere la funzione di </w:t>
      </w:r>
      <w:r>
        <w:rPr>
          <w:i/>
        </w:rPr>
        <w:t>key milestone</w:t>
      </w:r>
      <w:r>
        <w:rPr/>
        <w:t xml:space="preserve"> in cui si offre un quadro della situazione della sperimentazione avviata nei quartieri selezionati, delle istanze emerse, procedendo a ulteriore ascolto dei cittadini e degli intermediari presenti in modalità innovative e collaborative. In questo appuntamento, verrà inoltre condiviso un primo calendario di appuntamenti successivi per illustrare il processo di scalabilità del progetto.</w:t>
      </w:r>
    </w:p>
    <w:p>
      <w:pPr>
        <w:pStyle w:val="Corpodeltesto"/>
        <w:rPr>
          <w:rFonts w:cs="Times New Roman"/>
          <w:b/>
          <w:b/>
          <w:bCs/>
        </w:rPr>
      </w:pPr>
      <w:r>
        <w:rPr>
          <w:rFonts w:cs="Times New Roman"/>
          <w:b/>
          <w:bCs/>
        </w:rPr>
      </w:r>
    </w:p>
    <w:p>
      <w:pPr>
        <w:pStyle w:val="Corpodeltesto"/>
        <w:ind w:left="709" w:hanging="0"/>
        <w:rPr>
          <w:rFonts w:cs="Times New Roman"/>
        </w:rPr>
      </w:pPr>
      <w:r>
        <w:rPr>
          <w:rFonts w:cs="Times New Roman"/>
          <w:i/>
          <w:iCs/>
          <w:u w:val="single"/>
        </w:rPr>
        <w:t xml:space="preserve">In dettaglio. </w:t>
      </w:r>
      <w:r>
        <w:rPr>
          <w:rFonts w:cs="Times New Roman"/>
        </w:rPr>
        <w:t xml:space="preserve">L’output finale dell’attività di ricerca consiste in tre materiali: 1) report finale in versione Power Point con analisi dei dati raccolti nel corso delle diverse fasi della ricerca; 2) report con </w:t>
      </w:r>
      <w:r>
        <w:rPr>
          <w:rFonts w:cs="Times New Roman"/>
          <w:i/>
          <w:iCs/>
        </w:rPr>
        <w:t>to-do list</w:t>
      </w:r>
      <w:r>
        <w:rPr>
          <w:rFonts w:cs="Times New Roman"/>
        </w:rPr>
        <w:t xml:space="preserve"> con input gestionali per animazione e implementazione della piattaforma su scala urbana; 3) piattaforma digitale Hamlet Reggio Emilia in versione beta, già operativa durante la sperimentazione. </w:t>
      </w:r>
    </w:p>
    <w:p>
      <w:pPr>
        <w:pStyle w:val="Corpodeltesto"/>
        <w:ind w:left="709" w:hanging="0"/>
        <w:rPr>
          <w:rFonts w:cs="Times New Roman"/>
        </w:rPr>
      </w:pPr>
      <w:r>
        <w:rPr>
          <w:rFonts w:cs="Times New Roman"/>
        </w:rPr>
        <w:t>Nello specifico, la piattaforma presenterà indicativamente una home con possibilità di accedere a diversi spazi (che richiamano spazi relazionali e luoghi fisici del quartiere), un portale con le informazioni generali disponibili all’interno della piattaforma (relative alla vita urbana: per esempio, eventi, informazioni della PA, esigenze varie, etc.), una bacheca in cui sono inseriti i contenuti degli spazi e delle persone seguite da ogni singolo profilo, la lista di persone e di spazi presenti sulla piattaforma, un calendario di eventi/attività, il servizio di videochiamata. A queste funzionalità, si uniscono quelle di notifica, il servizio di mailing e messaggistica, le impostazioni personali del proprio profilo.</w:t>
      </w:r>
    </w:p>
    <w:p>
      <w:pPr>
        <w:pStyle w:val="Corpodeltesto"/>
        <w:ind w:left="709" w:hanging="0"/>
        <w:rPr>
          <w:rFonts w:cs="Times New Roman"/>
        </w:rPr>
      </w:pPr>
      <w:r>
        <w:rPr>
          <w:rFonts w:cs="Times New Roman"/>
        </w:rPr>
        <w:t>La piattaforma servirà indicativamente i residenti di un determinato quartiere e conterrà informazioni e servizi di base relativi alle attività di ricerca poste in essere all’interno della sperimentazione. Tratterà e conterrà, inoltre, temi e contenuti posti in essere nel corso della sperimentazione, relativi in particolare alle attività di partecipazione realizzante all’interno dei quartieri</w:t>
      </w:r>
    </w:p>
    <w:p>
      <w:pPr>
        <w:pStyle w:val="Corpodeltesto"/>
        <w:ind w:left="709" w:hanging="0"/>
        <w:rPr>
          <w:rFonts w:cs="Times New Roman"/>
        </w:rPr>
      </w:pPr>
      <w:r>
        <w:rPr>
          <w:rFonts w:cs="Times New Roman"/>
        </w:rPr>
        <w:t>L’obiettivo a tendere è quello di incorporare, in successive fasi di sviluppo, servizi di e-commerce, servizi digitali della Pubblica Amministrazione, e ulteriori servizi indicati all’interno dell’attività di ricerca e di sperimentazione, essendo questa proprio finalizzata a fare emergere tali elementi, non quindi definibili aprioristicamente ex-ante.</w:t>
      </w:r>
    </w:p>
    <w:p>
      <w:pPr>
        <w:pStyle w:val="Corpodeltesto"/>
        <w:ind w:left="709" w:hanging="0"/>
        <w:rPr>
          <w:rFonts w:cs="Times New Roman"/>
        </w:rPr>
      </w:pPr>
      <w:r>
        <w:rPr>
          <w:rFonts w:cs="Times New Roman"/>
        </w:rPr>
        <w:t xml:space="preserve">Gli indicatori di valutazione dell’attività di sperimentazione della piattaforma Hamlet sono legati ala tipologia di servizio offerto: a) realizzazione delle attività di ricerca previste dall’incarico di servizio; b) aderenza agli output previsti nel corso delle diverse fasi di ricerca; c) livello di partecipazione e coinvolgimento di persone, organizzazioni all’interno della ricerca e della sperimentazione; d) livello di animazione della piattaforma nel corso della sperimentazione. I risultati attesi sono: a) raccolta di dati dalle fasi di ricerca; b) indicazioni gestionali per organizzazione, animazione e implementazione di una piattaforma civica digitale; c) on-boarding di persone all’interno della piattaforma; d) animazione della piattaforma nel corso della sperimentazione. </w:t>
      </w:r>
    </w:p>
    <w:p>
      <w:pPr>
        <w:pStyle w:val="Corpodeltesto"/>
        <w:ind w:left="709" w:hanging="0"/>
        <w:rPr>
          <w:rFonts w:cs="Times New Roman"/>
        </w:rPr>
      </w:pPr>
      <w:r>
        <w:rPr>
          <w:rFonts w:cs="Times New Roman"/>
        </w:rPr>
        <w:t xml:space="preserve">Si specifica che, per la tipologia specifica di servizio offerto e in coerenza che la tipologia di progetto, indicatori e risultati sono di carattere prettamente qualitativo. Si specifica altresì che eventuali attività di sviluppo successive alla fase di sperimentazione, quindi non oggetto del presente progetto, saranno valutati nel corso della sperimentazione. </w:t>
      </w:r>
    </w:p>
    <w:p>
      <w:pPr>
        <w:pStyle w:val="Corpodeltesto"/>
        <w:rPr>
          <w:rFonts w:cs="Times New Roman"/>
          <w:b/>
          <w:b/>
          <w:bCs/>
        </w:rPr>
      </w:pPr>
      <w:r>
        <w:rPr>
          <w:rFonts w:cs="Times New Roman"/>
          <w:b/>
          <w:bCs/>
        </w:rPr>
      </w:r>
    </w:p>
    <w:p>
      <w:pPr>
        <w:pStyle w:val="Corpodeltesto"/>
        <w:rPr>
          <w:rFonts w:cs="Times New Roman"/>
          <w:b/>
          <w:b/>
          <w:bCs/>
        </w:rPr>
      </w:pPr>
      <w:r>
        <w:rPr>
          <w:rFonts w:cs="Times New Roman"/>
          <w:b/>
          <w:bCs/>
        </w:rPr>
        <w:t xml:space="preserve">Timeline </w:t>
      </w:r>
    </w:p>
    <w:p>
      <w:pPr>
        <w:pStyle w:val="Normal"/>
        <w:jc w:val="both"/>
        <w:rPr/>
      </w:pPr>
      <w:r>
        <w:rPr/>
        <w:t>La ricerca si realizzerà da luglio a novembre 2022. La fase analisi sarà condotta trasversalmente alle varie fasi man mano che viene raccolto il materiale.</w:t>
      </w:r>
    </w:p>
    <w:p>
      <w:pPr>
        <w:pStyle w:val="Normal"/>
        <w:jc w:val="both"/>
        <w:rPr/>
      </w:pPr>
      <w:r>
        <w:rPr/>
      </w:r>
    </w:p>
    <w:p>
      <w:pPr>
        <w:pStyle w:val="ListParagraph"/>
        <w:numPr>
          <w:ilvl w:val="0"/>
          <w:numId w:val="7"/>
        </w:numPr>
        <w:jc w:val="both"/>
        <w:rPr/>
      </w:pPr>
      <w:r>
        <w:rPr/>
        <w:t>Individuazione e mappatura aree/quartieri di prototipizzazione (luglio)</w:t>
      </w:r>
    </w:p>
    <w:p>
      <w:pPr>
        <w:pStyle w:val="ListParagraph"/>
        <w:numPr>
          <w:ilvl w:val="0"/>
          <w:numId w:val="7"/>
        </w:numPr>
        <w:jc w:val="both"/>
        <w:rPr/>
      </w:pPr>
      <w:r>
        <w:rPr/>
        <w:t>Coinvolgimento gruppo di supporto locale (con due sedute di co-design con community legata ai Digital Freaks e con architetti di quartiere, luglio)</w:t>
      </w:r>
    </w:p>
    <w:p>
      <w:pPr>
        <w:pStyle w:val="ListParagraph"/>
        <w:jc w:val="both"/>
        <w:rPr/>
      </w:pPr>
      <w:r>
        <w:rPr>
          <w:rFonts w:eastAsia="Wingdings" w:cs="Wingdings" w:ascii="Wingdings" w:hAnsi="Wingdings"/>
        </w:rPr>
        <w:t></w:t>
      </w:r>
      <w:r>
        <w:rPr/>
        <w:t xml:space="preserve"> </w:t>
      </w:r>
      <w:r>
        <w:rPr/>
        <w:t>Primo output: presentazione dell’avanzamento della ricerca</w:t>
      </w:r>
    </w:p>
    <w:p>
      <w:pPr>
        <w:pStyle w:val="Normal"/>
        <w:jc w:val="both"/>
        <w:rPr/>
      </w:pPr>
      <w:r>
        <w:rPr/>
      </w:r>
    </w:p>
    <w:p>
      <w:pPr>
        <w:pStyle w:val="ListParagraph"/>
        <w:numPr>
          <w:ilvl w:val="0"/>
          <w:numId w:val="7"/>
        </w:numPr>
        <w:jc w:val="both"/>
        <w:rPr/>
      </w:pPr>
      <w:r>
        <w:rPr/>
        <w:t>Percorso di ricerca-azione con interviste, questionario e focus-group di co-design (settembre-ottobre)</w:t>
      </w:r>
    </w:p>
    <w:p>
      <w:pPr>
        <w:pStyle w:val="ListParagraph"/>
        <w:numPr>
          <w:ilvl w:val="0"/>
          <w:numId w:val="7"/>
        </w:numPr>
        <w:jc w:val="both"/>
        <w:rPr/>
      </w:pPr>
      <w:r>
        <w:rPr/>
        <w:t>Evento di vicinato (da valutare tra settembre /ottobre)</w:t>
      </w:r>
    </w:p>
    <w:p>
      <w:pPr>
        <w:pStyle w:val="ListParagraph"/>
        <w:numPr>
          <w:ilvl w:val="0"/>
          <w:numId w:val="7"/>
        </w:numPr>
        <w:jc w:val="both"/>
        <w:rPr/>
      </w:pPr>
      <w:r>
        <w:rPr/>
        <w:t>Analisi dei dati (settembre-ottobre)</w:t>
      </w:r>
    </w:p>
    <w:p>
      <w:pPr>
        <w:pStyle w:val="ListParagraph"/>
        <w:jc w:val="both"/>
        <w:rPr/>
      </w:pPr>
      <w:r>
        <w:rPr>
          <w:rFonts w:eastAsia="Wingdings" w:cs="Wingdings" w:ascii="Wingdings" w:hAnsi="Wingdings"/>
        </w:rPr>
        <w:t></w:t>
      </w:r>
      <w:r>
        <w:rPr/>
        <w:t xml:space="preserve"> </w:t>
      </w:r>
      <w:r>
        <w:rPr/>
        <w:t>Secondo output: presentazione dei risultati della ricerca e indicazioni di sviluppo</w:t>
      </w:r>
    </w:p>
    <w:p>
      <w:pPr>
        <w:pStyle w:val="Normal"/>
        <w:jc w:val="both"/>
        <w:rPr/>
      </w:pPr>
      <w:r>
        <w:rPr/>
      </w:r>
    </w:p>
    <w:p>
      <w:pPr>
        <w:pStyle w:val="ListParagraph"/>
        <w:numPr>
          <w:ilvl w:val="0"/>
          <w:numId w:val="7"/>
        </w:numPr>
        <w:jc w:val="both"/>
        <w:rPr/>
      </w:pPr>
      <w:r>
        <w:rPr/>
        <w:t>Seminario di restituzione (ottobre-novembre)</w:t>
      </w:r>
    </w:p>
    <w:p>
      <w:pPr>
        <w:pStyle w:val="ListParagraph"/>
        <w:numPr>
          <w:ilvl w:val="0"/>
          <w:numId w:val="7"/>
        </w:numPr>
        <w:jc w:val="both"/>
        <w:rPr/>
      </w:pPr>
      <w:r>
        <w:rPr/>
        <w:t>Accompagnamento e implementazione (ottobre-novembre)</w:t>
      </w:r>
    </w:p>
    <w:p>
      <w:pPr>
        <w:pStyle w:val="Corpodeltesto"/>
        <w:rPr>
          <w:rFonts w:cs="Times New Roman"/>
          <w:b/>
          <w:b/>
          <w:bCs/>
        </w:rPr>
      </w:pPr>
      <w:r>
        <w:rPr>
          <w:rFonts w:cs="Times New Roman"/>
          <w:b/>
          <w:bCs/>
        </w:rPr>
        <w:t>Rendicontazione e budget</w:t>
      </w:r>
    </w:p>
    <w:p>
      <w:pPr>
        <w:pStyle w:val="Corpodeltesto"/>
        <w:rPr>
          <w:rFonts w:cs="Times New Roman"/>
        </w:rPr>
      </w:pPr>
      <w:r>
        <w:rPr>
          <w:rFonts w:cs="Times New Roman"/>
        </w:rPr>
        <w:t>La rendicontazione della ricerca prevede la raccolta e la gestione dei dati e delle informazioni relative alle varie attività, con una reportistica accurata che illustra elementi quantitativi (numero interviste, focus group, partecipanti alle attività) e qualitativi (analisi degli output della ricerca). Il progetto di ricerca prevede un budget di 15600 euro (+iva), da versare nelle modalità stipulate mediante convenzione.</w:t>
      </w:r>
    </w:p>
    <w:p>
      <w:pPr>
        <w:pStyle w:val="Normal"/>
        <w:jc w:val="both"/>
        <w:rPr/>
      </w:pPr>
      <w:r>
        <w:rPr/>
      </w:r>
    </w:p>
    <w:p>
      <w:pPr>
        <w:pStyle w:val="Normal"/>
        <w:jc w:val="both"/>
        <w:rPr>
          <w:b/>
          <w:b/>
          <w:bCs/>
        </w:rPr>
      </w:pPr>
      <w:r>
        <w:rPr>
          <w:b/>
          <w:bCs/>
        </w:rPr>
        <w:t>Tabella riassuntiva</w:t>
      </w:r>
    </w:p>
    <w:p>
      <w:pPr>
        <w:pStyle w:val="Normal"/>
        <w:jc w:val="both"/>
        <w:rPr>
          <w:b/>
          <w:b/>
          <w:bCs/>
        </w:rPr>
      </w:pPr>
      <w:r>
        <w:rPr>
          <w:b/>
          <w:bCs/>
        </w:rPr>
      </w:r>
    </w:p>
    <w:tbl>
      <w:tblPr>
        <w:tblStyle w:val="Grigliatabella"/>
        <w:tblW w:w="905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37"/>
        <w:gridCol w:w="1135"/>
        <w:gridCol w:w="2443"/>
        <w:gridCol w:w="1847"/>
        <w:gridCol w:w="1792"/>
      </w:tblGrid>
      <w:tr>
        <w:trPr/>
        <w:tc>
          <w:tcPr>
            <w:tcW w:w="1837" w:type="dxa"/>
            <w:tcBorders/>
          </w:tcPr>
          <w:p>
            <w:pPr>
              <w:pStyle w:val="Normal"/>
              <w:widowControl/>
              <w:spacing w:before="0" w:after="0"/>
              <w:jc w:val="left"/>
              <w:rPr>
                <w:sz w:val="20"/>
                <w:szCs w:val="20"/>
              </w:rPr>
            </w:pPr>
            <w:r>
              <w:rPr>
                <w:kern w:val="0"/>
                <w:sz w:val="20"/>
                <w:szCs w:val="20"/>
                <w:lang w:val="it-IT" w:bidi="ar-SA"/>
              </w:rPr>
              <w:t>Fase</w:t>
            </w:r>
          </w:p>
        </w:tc>
        <w:tc>
          <w:tcPr>
            <w:tcW w:w="1135" w:type="dxa"/>
            <w:tcBorders/>
          </w:tcPr>
          <w:p>
            <w:pPr>
              <w:pStyle w:val="Normal"/>
              <w:widowControl/>
              <w:spacing w:before="0" w:after="0"/>
              <w:jc w:val="both"/>
              <w:rPr>
                <w:b/>
                <w:b/>
                <w:bCs/>
                <w:sz w:val="20"/>
                <w:szCs w:val="20"/>
              </w:rPr>
            </w:pPr>
            <w:r>
              <w:rPr>
                <w:b/>
                <w:bCs/>
                <w:kern w:val="0"/>
                <w:sz w:val="20"/>
                <w:szCs w:val="20"/>
                <w:lang w:val="it-IT" w:bidi="ar-SA"/>
              </w:rPr>
              <w:t>Periodo</w:t>
            </w:r>
          </w:p>
        </w:tc>
        <w:tc>
          <w:tcPr>
            <w:tcW w:w="2443" w:type="dxa"/>
            <w:tcBorders/>
          </w:tcPr>
          <w:p>
            <w:pPr>
              <w:pStyle w:val="Normal"/>
              <w:widowControl/>
              <w:spacing w:before="0" w:after="0"/>
              <w:jc w:val="both"/>
              <w:rPr>
                <w:b/>
                <w:b/>
                <w:bCs/>
                <w:sz w:val="20"/>
                <w:szCs w:val="20"/>
              </w:rPr>
            </w:pPr>
            <w:r>
              <w:rPr>
                <w:b/>
                <w:bCs/>
                <w:kern w:val="0"/>
                <w:sz w:val="20"/>
                <w:szCs w:val="20"/>
                <w:lang w:val="it-IT" w:bidi="ar-SA"/>
              </w:rPr>
              <w:t>Attività</w:t>
            </w:r>
          </w:p>
        </w:tc>
        <w:tc>
          <w:tcPr>
            <w:tcW w:w="1847" w:type="dxa"/>
            <w:tcBorders/>
          </w:tcPr>
          <w:p>
            <w:pPr>
              <w:pStyle w:val="Normal"/>
              <w:widowControl/>
              <w:spacing w:before="0" w:after="0"/>
              <w:jc w:val="both"/>
              <w:rPr>
                <w:b/>
                <w:b/>
                <w:bCs/>
                <w:sz w:val="20"/>
                <w:szCs w:val="20"/>
              </w:rPr>
            </w:pPr>
            <w:r>
              <w:rPr>
                <w:b/>
                <w:bCs/>
                <w:kern w:val="0"/>
                <w:sz w:val="20"/>
                <w:szCs w:val="20"/>
                <w:lang w:val="it-IT" w:bidi="ar-SA"/>
              </w:rPr>
              <w:t>Obiettivi</w:t>
            </w:r>
          </w:p>
        </w:tc>
        <w:tc>
          <w:tcPr>
            <w:tcW w:w="1792" w:type="dxa"/>
            <w:tcBorders/>
          </w:tcPr>
          <w:p>
            <w:pPr>
              <w:pStyle w:val="Normal"/>
              <w:widowControl/>
              <w:spacing w:before="0" w:after="0"/>
              <w:jc w:val="both"/>
              <w:rPr>
                <w:b/>
                <w:b/>
                <w:bCs/>
                <w:sz w:val="20"/>
                <w:szCs w:val="20"/>
              </w:rPr>
            </w:pPr>
            <w:r>
              <w:rPr>
                <w:b/>
                <w:bCs/>
                <w:kern w:val="0"/>
                <w:sz w:val="20"/>
                <w:szCs w:val="20"/>
                <w:lang w:val="it-IT" w:bidi="ar-SA"/>
              </w:rPr>
              <w:t>Output</w:t>
            </w:r>
          </w:p>
        </w:tc>
      </w:tr>
      <w:tr>
        <w:trPr/>
        <w:tc>
          <w:tcPr>
            <w:tcW w:w="1837" w:type="dxa"/>
            <w:tcBorders/>
          </w:tcPr>
          <w:p>
            <w:pPr>
              <w:pStyle w:val="Normal"/>
              <w:widowControl/>
              <w:spacing w:before="0" w:after="0"/>
              <w:jc w:val="left"/>
              <w:rPr>
                <w:sz w:val="20"/>
                <w:szCs w:val="20"/>
              </w:rPr>
            </w:pPr>
            <w:r>
              <w:rPr>
                <w:kern w:val="0"/>
                <w:sz w:val="20"/>
                <w:szCs w:val="20"/>
                <w:lang w:val="it-IT" w:bidi="ar-SA"/>
              </w:rPr>
              <w:t>Costituzione gruppo lavoro</w:t>
            </w:r>
          </w:p>
        </w:tc>
        <w:tc>
          <w:tcPr>
            <w:tcW w:w="1135" w:type="dxa"/>
            <w:tcBorders/>
          </w:tcPr>
          <w:p>
            <w:pPr>
              <w:pStyle w:val="Normal"/>
              <w:widowControl/>
              <w:spacing w:before="0" w:after="0"/>
              <w:jc w:val="left"/>
              <w:rPr>
                <w:sz w:val="20"/>
                <w:szCs w:val="20"/>
              </w:rPr>
            </w:pPr>
            <w:r>
              <w:rPr>
                <w:kern w:val="0"/>
                <w:sz w:val="20"/>
                <w:szCs w:val="20"/>
                <w:lang w:val="it-IT" w:bidi="ar-SA"/>
              </w:rPr>
              <w:t>Luglio</w:t>
            </w:r>
          </w:p>
        </w:tc>
        <w:tc>
          <w:tcPr>
            <w:tcW w:w="2443" w:type="dxa"/>
            <w:tcBorders/>
          </w:tcPr>
          <w:p>
            <w:pPr>
              <w:pStyle w:val="Normal"/>
              <w:widowControl/>
              <w:spacing w:before="0" w:after="0"/>
              <w:jc w:val="left"/>
              <w:rPr>
                <w:sz w:val="20"/>
                <w:szCs w:val="20"/>
              </w:rPr>
            </w:pPr>
            <w:r>
              <w:rPr>
                <w:kern w:val="0"/>
                <w:sz w:val="20"/>
                <w:szCs w:val="20"/>
                <w:lang w:val="it-IT" w:bidi="ar-SA"/>
              </w:rPr>
              <w:t>Individuazione gruppo coordinamento attività di ricerca</w:t>
            </w:r>
          </w:p>
        </w:tc>
        <w:tc>
          <w:tcPr>
            <w:tcW w:w="1847" w:type="dxa"/>
            <w:tcBorders/>
          </w:tcPr>
          <w:p>
            <w:pPr>
              <w:pStyle w:val="Normal"/>
              <w:widowControl/>
              <w:spacing w:before="0" w:after="0"/>
              <w:jc w:val="left"/>
              <w:rPr>
                <w:sz w:val="20"/>
                <w:szCs w:val="20"/>
              </w:rPr>
            </w:pPr>
            <w:r>
              <w:rPr>
                <w:kern w:val="0"/>
                <w:sz w:val="20"/>
                <w:szCs w:val="20"/>
                <w:lang w:val="it-IT" w:bidi="ar-SA"/>
              </w:rPr>
              <w:t>Definire gruppo di implementazione, supporto e verifica delle attività</w:t>
            </w:r>
          </w:p>
        </w:tc>
        <w:tc>
          <w:tcPr>
            <w:tcW w:w="1792" w:type="dxa"/>
            <w:tcBorders/>
          </w:tcPr>
          <w:p>
            <w:pPr>
              <w:pStyle w:val="Normal"/>
              <w:widowControl/>
              <w:spacing w:before="0" w:after="0"/>
              <w:jc w:val="left"/>
              <w:rPr>
                <w:sz w:val="20"/>
                <w:szCs w:val="20"/>
              </w:rPr>
            </w:pPr>
            <w:r>
              <w:rPr>
                <w:kern w:val="0"/>
                <w:sz w:val="20"/>
                <w:szCs w:val="20"/>
                <w:lang w:val="it-IT" w:bidi="ar-SA"/>
              </w:rPr>
              <w:t>Gruppo di lavoro e coordinamento</w:t>
            </w:r>
          </w:p>
        </w:tc>
      </w:tr>
      <w:tr>
        <w:trPr/>
        <w:tc>
          <w:tcPr>
            <w:tcW w:w="1837" w:type="dxa"/>
            <w:tcBorders/>
          </w:tcPr>
          <w:p>
            <w:pPr>
              <w:pStyle w:val="Normal"/>
              <w:widowControl/>
              <w:spacing w:before="0" w:after="0"/>
              <w:jc w:val="left"/>
              <w:rPr>
                <w:sz w:val="20"/>
                <w:szCs w:val="20"/>
              </w:rPr>
            </w:pPr>
            <w:r>
              <w:rPr>
                <w:kern w:val="0"/>
                <w:sz w:val="20"/>
                <w:szCs w:val="20"/>
                <w:lang w:val="it-IT" w:bidi="ar-SA"/>
              </w:rPr>
              <w:t>Individuazione ambito territoriale</w:t>
            </w:r>
          </w:p>
        </w:tc>
        <w:tc>
          <w:tcPr>
            <w:tcW w:w="1135" w:type="dxa"/>
            <w:tcBorders/>
          </w:tcPr>
          <w:p>
            <w:pPr>
              <w:pStyle w:val="Normal"/>
              <w:widowControl/>
              <w:spacing w:before="0" w:after="0"/>
              <w:jc w:val="left"/>
              <w:rPr>
                <w:sz w:val="20"/>
                <w:szCs w:val="20"/>
              </w:rPr>
            </w:pPr>
            <w:r>
              <w:rPr>
                <w:kern w:val="0"/>
                <w:sz w:val="20"/>
                <w:szCs w:val="20"/>
                <w:lang w:val="it-IT" w:bidi="ar-SA"/>
              </w:rPr>
              <w:t>Luglio/</w:t>
            </w:r>
          </w:p>
          <w:p>
            <w:pPr>
              <w:pStyle w:val="Normal"/>
              <w:widowControl/>
              <w:spacing w:before="0" w:after="0"/>
              <w:jc w:val="left"/>
              <w:rPr>
                <w:sz w:val="20"/>
                <w:szCs w:val="20"/>
              </w:rPr>
            </w:pPr>
            <w:r>
              <w:rPr>
                <w:kern w:val="0"/>
                <w:sz w:val="20"/>
                <w:szCs w:val="20"/>
                <w:lang w:val="it-IT" w:bidi="ar-SA"/>
              </w:rPr>
              <w:t>Agosto</w:t>
            </w:r>
          </w:p>
        </w:tc>
        <w:tc>
          <w:tcPr>
            <w:tcW w:w="2443" w:type="dxa"/>
            <w:tcBorders/>
          </w:tcPr>
          <w:p>
            <w:pPr>
              <w:pStyle w:val="Normal"/>
              <w:widowControl/>
              <w:spacing w:before="0" w:after="0"/>
              <w:jc w:val="left"/>
              <w:rPr>
                <w:sz w:val="20"/>
                <w:szCs w:val="20"/>
              </w:rPr>
            </w:pPr>
            <w:r>
              <w:rPr>
                <w:kern w:val="0"/>
                <w:sz w:val="20"/>
                <w:szCs w:val="20"/>
                <w:lang w:val="it-IT" w:bidi="ar-SA"/>
              </w:rPr>
              <w:t>Definizione ambiti e quartieri su cui incentrare la ricerca</w:t>
            </w:r>
          </w:p>
        </w:tc>
        <w:tc>
          <w:tcPr>
            <w:tcW w:w="1847" w:type="dxa"/>
            <w:tcBorders/>
          </w:tcPr>
          <w:p>
            <w:pPr>
              <w:pStyle w:val="Normal"/>
              <w:widowControl/>
              <w:spacing w:before="0" w:after="0"/>
              <w:jc w:val="left"/>
              <w:rPr>
                <w:sz w:val="20"/>
                <w:szCs w:val="20"/>
              </w:rPr>
            </w:pPr>
            <w:r>
              <w:rPr>
                <w:kern w:val="0"/>
                <w:sz w:val="20"/>
                <w:szCs w:val="20"/>
                <w:lang w:val="it-IT" w:bidi="ar-SA"/>
              </w:rPr>
              <w:t xml:space="preserve">Selezionare e circoscrivere il contesto urbano di sperimentazione </w:t>
            </w:r>
          </w:p>
        </w:tc>
        <w:tc>
          <w:tcPr>
            <w:tcW w:w="1792" w:type="dxa"/>
            <w:tcBorders/>
          </w:tcPr>
          <w:p>
            <w:pPr>
              <w:pStyle w:val="Normal"/>
              <w:widowControl/>
              <w:spacing w:before="0" w:after="0"/>
              <w:jc w:val="left"/>
              <w:rPr>
                <w:sz w:val="20"/>
                <w:szCs w:val="20"/>
              </w:rPr>
            </w:pPr>
            <w:r>
              <w:rPr>
                <w:kern w:val="0"/>
                <w:sz w:val="20"/>
                <w:szCs w:val="20"/>
                <w:lang w:val="it-IT" w:bidi="ar-SA"/>
              </w:rPr>
              <w:t>Due ambiti e quartieri di sperimentazione</w:t>
            </w:r>
          </w:p>
        </w:tc>
      </w:tr>
      <w:tr>
        <w:trPr/>
        <w:tc>
          <w:tcPr>
            <w:tcW w:w="1837" w:type="dxa"/>
            <w:tcBorders/>
          </w:tcPr>
          <w:p>
            <w:pPr>
              <w:pStyle w:val="Normal"/>
              <w:widowControl/>
              <w:spacing w:before="0" w:after="0"/>
              <w:jc w:val="left"/>
              <w:rPr>
                <w:sz w:val="20"/>
                <w:szCs w:val="20"/>
              </w:rPr>
            </w:pPr>
            <w:r>
              <w:rPr>
                <w:kern w:val="0"/>
                <w:sz w:val="20"/>
                <w:szCs w:val="20"/>
                <w:lang w:val="it-IT" w:bidi="ar-SA"/>
              </w:rPr>
              <w:t>Mappatura</w:t>
            </w:r>
          </w:p>
        </w:tc>
        <w:tc>
          <w:tcPr>
            <w:tcW w:w="1135" w:type="dxa"/>
            <w:tcBorders/>
          </w:tcPr>
          <w:p>
            <w:pPr>
              <w:pStyle w:val="Normal"/>
              <w:widowControl/>
              <w:spacing w:before="0" w:after="0"/>
              <w:jc w:val="left"/>
              <w:rPr>
                <w:sz w:val="20"/>
                <w:szCs w:val="20"/>
              </w:rPr>
            </w:pPr>
            <w:r>
              <w:rPr>
                <w:kern w:val="0"/>
                <w:sz w:val="20"/>
                <w:szCs w:val="20"/>
                <w:lang w:val="it-IT" w:bidi="ar-SA"/>
              </w:rPr>
              <w:t>Agosto</w:t>
            </w:r>
          </w:p>
        </w:tc>
        <w:tc>
          <w:tcPr>
            <w:tcW w:w="2443" w:type="dxa"/>
            <w:tcBorders/>
          </w:tcPr>
          <w:p>
            <w:pPr>
              <w:pStyle w:val="Normal"/>
              <w:widowControl/>
              <w:spacing w:before="0" w:after="0"/>
              <w:jc w:val="left"/>
              <w:rPr>
                <w:sz w:val="20"/>
                <w:szCs w:val="20"/>
              </w:rPr>
            </w:pPr>
            <w:r>
              <w:rPr>
                <w:kern w:val="0"/>
                <w:sz w:val="20"/>
                <w:szCs w:val="20"/>
                <w:lang w:val="it-IT" w:bidi="ar-SA"/>
              </w:rPr>
              <w:t xml:space="preserve">Mappatura desk-based di persone, organizzazione e luoghi dei quartieri della sperimentazione </w:t>
            </w:r>
          </w:p>
        </w:tc>
        <w:tc>
          <w:tcPr>
            <w:tcW w:w="1847" w:type="dxa"/>
            <w:tcBorders/>
          </w:tcPr>
          <w:p>
            <w:pPr>
              <w:pStyle w:val="Normal"/>
              <w:widowControl/>
              <w:spacing w:before="0" w:after="0"/>
              <w:jc w:val="left"/>
              <w:rPr>
                <w:sz w:val="20"/>
                <w:szCs w:val="20"/>
              </w:rPr>
            </w:pPr>
            <w:r>
              <w:rPr>
                <w:kern w:val="0"/>
                <w:sz w:val="20"/>
                <w:szCs w:val="20"/>
                <w:lang w:val="it-IT" w:bidi="ar-SA"/>
              </w:rPr>
              <w:t>Stilare quadro dell’ecosistema socio-spaziale dei quartieri sulla base del quale impostare fase successiva di ricerca-azione</w:t>
            </w:r>
          </w:p>
        </w:tc>
        <w:tc>
          <w:tcPr>
            <w:tcW w:w="1792" w:type="dxa"/>
            <w:tcBorders/>
          </w:tcPr>
          <w:p>
            <w:pPr>
              <w:pStyle w:val="Normal"/>
              <w:widowControl/>
              <w:spacing w:before="0" w:after="0"/>
              <w:jc w:val="left"/>
              <w:rPr>
                <w:sz w:val="20"/>
                <w:szCs w:val="20"/>
              </w:rPr>
            </w:pPr>
            <w:r>
              <w:rPr>
                <w:kern w:val="0"/>
                <w:sz w:val="20"/>
                <w:szCs w:val="20"/>
                <w:lang w:val="it-IT" w:bidi="ar-SA"/>
              </w:rPr>
              <w:t xml:space="preserve">Report della fase di mappatura </w:t>
            </w:r>
          </w:p>
        </w:tc>
      </w:tr>
      <w:tr>
        <w:trPr/>
        <w:tc>
          <w:tcPr>
            <w:tcW w:w="1837" w:type="dxa"/>
            <w:tcBorders/>
          </w:tcPr>
          <w:p>
            <w:pPr>
              <w:pStyle w:val="Normal"/>
              <w:widowControl/>
              <w:spacing w:before="0" w:after="0"/>
              <w:jc w:val="left"/>
              <w:rPr>
                <w:sz w:val="20"/>
                <w:szCs w:val="20"/>
              </w:rPr>
            </w:pPr>
            <w:r>
              <w:rPr>
                <w:kern w:val="0"/>
                <w:sz w:val="20"/>
                <w:szCs w:val="20"/>
                <w:lang w:val="it-IT" w:bidi="ar-SA"/>
              </w:rPr>
              <w:t>Questionario</w:t>
            </w:r>
          </w:p>
        </w:tc>
        <w:tc>
          <w:tcPr>
            <w:tcW w:w="1135" w:type="dxa"/>
            <w:tcBorders/>
          </w:tcPr>
          <w:p>
            <w:pPr>
              <w:pStyle w:val="Normal"/>
              <w:widowControl/>
              <w:spacing w:before="0" w:after="0"/>
              <w:jc w:val="left"/>
              <w:rPr>
                <w:sz w:val="20"/>
                <w:szCs w:val="20"/>
              </w:rPr>
            </w:pPr>
            <w:r>
              <w:rPr>
                <w:kern w:val="0"/>
                <w:sz w:val="20"/>
                <w:szCs w:val="20"/>
                <w:lang w:val="it-IT" w:bidi="ar-SA"/>
              </w:rPr>
              <w:t>Agosto/</w:t>
            </w:r>
          </w:p>
          <w:p>
            <w:pPr>
              <w:pStyle w:val="Normal"/>
              <w:widowControl/>
              <w:spacing w:before="0" w:after="0"/>
              <w:jc w:val="left"/>
              <w:rPr>
                <w:sz w:val="20"/>
                <w:szCs w:val="20"/>
              </w:rPr>
            </w:pPr>
            <w:r>
              <w:rPr>
                <w:kern w:val="0"/>
                <w:sz w:val="20"/>
                <w:szCs w:val="20"/>
                <w:lang w:val="it-IT" w:bidi="ar-SA"/>
              </w:rPr>
              <w:t>Settembre</w:t>
            </w:r>
          </w:p>
        </w:tc>
        <w:tc>
          <w:tcPr>
            <w:tcW w:w="2443" w:type="dxa"/>
            <w:tcBorders/>
          </w:tcPr>
          <w:p>
            <w:pPr>
              <w:pStyle w:val="Normal"/>
              <w:widowControl/>
              <w:spacing w:before="0" w:after="0"/>
              <w:jc w:val="left"/>
              <w:rPr>
                <w:sz w:val="20"/>
                <w:szCs w:val="20"/>
              </w:rPr>
            </w:pPr>
            <w:r>
              <w:rPr>
                <w:kern w:val="0"/>
                <w:sz w:val="20"/>
                <w:szCs w:val="20"/>
                <w:lang w:val="it-IT" w:bidi="ar-SA"/>
              </w:rPr>
              <w:t>Somministrazione su base urbana, con ficus dei quartieri interessati alla sperimentazione, di questionario online su servizi digitali</w:t>
            </w:r>
          </w:p>
        </w:tc>
        <w:tc>
          <w:tcPr>
            <w:tcW w:w="1847" w:type="dxa"/>
            <w:tcBorders/>
          </w:tcPr>
          <w:p>
            <w:pPr>
              <w:pStyle w:val="Normal"/>
              <w:widowControl/>
              <w:spacing w:before="0" w:after="0"/>
              <w:jc w:val="left"/>
              <w:rPr>
                <w:sz w:val="20"/>
                <w:szCs w:val="20"/>
              </w:rPr>
            </w:pPr>
            <w:r>
              <w:rPr>
                <w:kern w:val="0"/>
                <w:sz w:val="20"/>
                <w:szCs w:val="20"/>
                <w:lang w:val="it-IT" w:bidi="ar-SA"/>
              </w:rPr>
              <w:t>Comprendere utilizzo, funzionalità e potenzialità di servizi e piattaforme digitali per favorire prossimità</w:t>
            </w:r>
          </w:p>
        </w:tc>
        <w:tc>
          <w:tcPr>
            <w:tcW w:w="1792" w:type="dxa"/>
            <w:tcBorders/>
          </w:tcPr>
          <w:p>
            <w:pPr>
              <w:pStyle w:val="Normal"/>
              <w:widowControl/>
              <w:spacing w:before="0" w:after="0"/>
              <w:jc w:val="left"/>
              <w:rPr>
                <w:sz w:val="20"/>
                <w:szCs w:val="20"/>
              </w:rPr>
            </w:pPr>
            <w:r>
              <w:rPr>
                <w:kern w:val="0"/>
                <w:sz w:val="20"/>
                <w:szCs w:val="20"/>
                <w:lang w:val="it-IT" w:bidi="ar-SA"/>
              </w:rPr>
              <w:t>Report dei risultati del questionario (vedi report conclusivo della sperimentazione)</w:t>
            </w:r>
          </w:p>
        </w:tc>
      </w:tr>
      <w:tr>
        <w:trPr/>
        <w:tc>
          <w:tcPr>
            <w:tcW w:w="1837" w:type="dxa"/>
            <w:tcBorders/>
          </w:tcPr>
          <w:p>
            <w:pPr>
              <w:pStyle w:val="Normal"/>
              <w:widowControl/>
              <w:spacing w:before="0" w:after="0"/>
              <w:jc w:val="left"/>
              <w:rPr>
                <w:sz w:val="20"/>
                <w:szCs w:val="20"/>
              </w:rPr>
            </w:pPr>
            <w:r>
              <w:rPr>
                <w:kern w:val="0"/>
                <w:sz w:val="20"/>
                <w:szCs w:val="20"/>
                <w:lang w:val="it-IT" w:bidi="ar-SA"/>
              </w:rPr>
              <w:t>Interviste</w:t>
            </w:r>
          </w:p>
        </w:tc>
        <w:tc>
          <w:tcPr>
            <w:tcW w:w="1135" w:type="dxa"/>
            <w:tcBorders/>
          </w:tcPr>
          <w:p>
            <w:pPr>
              <w:pStyle w:val="Normal"/>
              <w:widowControl/>
              <w:spacing w:before="0" w:after="0"/>
              <w:jc w:val="left"/>
              <w:rPr>
                <w:sz w:val="20"/>
                <w:szCs w:val="20"/>
              </w:rPr>
            </w:pPr>
            <w:r>
              <w:rPr>
                <w:kern w:val="0"/>
                <w:sz w:val="20"/>
                <w:szCs w:val="20"/>
                <w:lang w:val="it-IT" w:bidi="ar-SA"/>
              </w:rPr>
              <w:t>Settembre</w:t>
            </w:r>
          </w:p>
        </w:tc>
        <w:tc>
          <w:tcPr>
            <w:tcW w:w="2443" w:type="dxa"/>
            <w:tcBorders/>
          </w:tcPr>
          <w:p>
            <w:pPr>
              <w:pStyle w:val="Normal"/>
              <w:widowControl/>
              <w:spacing w:before="0" w:after="0"/>
              <w:jc w:val="left"/>
              <w:rPr>
                <w:sz w:val="20"/>
                <w:szCs w:val="20"/>
              </w:rPr>
            </w:pPr>
            <w:r>
              <w:rPr>
                <w:kern w:val="0"/>
                <w:sz w:val="20"/>
                <w:szCs w:val="20"/>
                <w:lang w:val="it-IT" w:bidi="ar-SA"/>
              </w:rPr>
              <w:t>20/30 interviste totali (10/15 per quartiere) a stakeholders presenti nel quartiere funzionali alla sperimentazione, individuate dalla mappatura</w:t>
            </w:r>
          </w:p>
        </w:tc>
        <w:tc>
          <w:tcPr>
            <w:tcW w:w="1847" w:type="dxa"/>
            <w:tcBorders/>
          </w:tcPr>
          <w:p>
            <w:pPr>
              <w:pStyle w:val="Normal"/>
              <w:widowControl/>
              <w:spacing w:before="0" w:after="0"/>
              <w:jc w:val="left"/>
              <w:rPr>
                <w:sz w:val="20"/>
                <w:szCs w:val="20"/>
              </w:rPr>
            </w:pPr>
            <w:r>
              <w:rPr>
                <w:kern w:val="0"/>
                <w:sz w:val="20"/>
                <w:szCs w:val="20"/>
                <w:lang w:val="it-IT" w:bidi="ar-SA"/>
              </w:rPr>
              <w:t>Approfondire conoscenza di soggetti e organizzazioni di riferimento dei quartieri della sperimentazione, e la loro rete sociale</w:t>
            </w:r>
          </w:p>
        </w:tc>
        <w:tc>
          <w:tcPr>
            <w:tcW w:w="1792" w:type="dxa"/>
            <w:tcBorders/>
          </w:tcPr>
          <w:p>
            <w:pPr>
              <w:pStyle w:val="Normal"/>
              <w:widowControl/>
              <w:spacing w:before="0" w:after="0"/>
              <w:jc w:val="left"/>
              <w:rPr>
                <w:sz w:val="20"/>
                <w:szCs w:val="20"/>
              </w:rPr>
            </w:pPr>
            <w:r>
              <w:rPr>
                <w:kern w:val="0"/>
                <w:sz w:val="20"/>
                <w:szCs w:val="20"/>
                <w:lang w:val="it-IT" w:bidi="ar-SA"/>
              </w:rPr>
              <w:t>Report dei risultati delle interviste (vedi report conclusivo della sperimentazione)</w:t>
            </w:r>
          </w:p>
        </w:tc>
      </w:tr>
      <w:tr>
        <w:trPr/>
        <w:tc>
          <w:tcPr>
            <w:tcW w:w="1837" w:type="dxa"/>
            <w:tcBorders/>
          </w:tcPr>
          <w:p>
            <w:pPr>
              <w:pStyle w:val="Normal"/>
              <w:widowControl/>
              <w:spacing w:before="0" w:after="0"/>
              <w:jc w:val="left"/>
              <w:rPr>
                <w:sz w:val="20"/>
                <w:szCs w:val="20"/>
                <w:lang w:val="en-US"/>
              </w:rPr>
            </w:pPr>
            <w:r>
              <w:rPr>
                <w:kern w:val="0"/>
                <w:sz w:val="20"/>
                <w:szCs w:val="20"/>
                <w:lang w:val="en-US" w:bidi="ar-SA"/>
              </w:rPr>
              <w:t>Focus group di Co-design</w:t>
            </w:r>
          </w:p>
        </w:tc>
        <w:tc>
          <w:tcPr>
            <w:tcW w:w="1135" w:type="dxa"/>
            <w:tcBorders/>
          </w:tcPr>
          <w:p>
            <w:pPr>
              <w:pStyle w:val="Normal"/>
              <w:widowControl/>
              <w:spacing w:before="0" w:after="0"/>
              <w:jc w:val="left"/>
              <w:rPr>
                <w:sz w:val="20"/>
                <w:szCs w:val="20"/>
              </w:rPr>
            </w:pPr>
            <w:r>
              <w:rPr>
                <w:kern w:val="0"/>
                <w:sz w:val="20"/>
                <w:szCs w:val="20"/>
                <w:lang w:val="it-IT" w:bidi="ar-SA"/>
              </w:rPr>
              <w:t>Luglio/</w:t>
            </w:r>
          </w:p>
          <w:p>
            <w:pPr>
              <w:pStyle w:val="Normal"/>
              <w:widowControl/>
              <w:spacing w:before="0" w:after="0"/>
              <w:jc w:val="left"/>
              <w:rPr>
                <w:sz w:val="20"/>
                <w:szCs w:val="20"/>
              </w:rPr>
            </w:pPr>
            <w:r>
              <w:rPr>
                <w:kern w:val="0"/>
                <w:sz w:val="20"/>
                <w:szCs w:val="20"/>
                <w:lang w:val="it-IT" w:bidi="ar-SA"/>
              </w:rPr>
              <w:t>Ottobre</w:t>
            </w:r>
          </w:p>
        </w:tc>
        <w:tc>
          <w:tcPr>
            <w:tcW w:w="2443" w:type="dxa"/>
            <w:tcBorders/>
          </w:tcPr>
          <w:p>
            <w:pPr>
              <w:pStyle w:val="Normal"/>
              <w:widowControl/>
              <w:spacing w:before="0" w:after="0"/>
              <w:jc w:val="left"/>
              <w:rPr>
                <w:sz w:val="20"/>
                <w:szCs w:val="20"/>
              </w:rPr>
            </w:pPr>
            <w:r>
              <w:rPr>
                <w:kern w:val="0"/>
                <w:sz w:val="20"/>
                <w:szCs w:val="20"/>
                <w:lang w:val="it-IT" w:bidi="ar-SA"/>
              </w:rPr>
              <w:t>8 focus group con 6/10 persone ognuno i ogni quartiere della sperimentazione, più 1 focus group con operatori PA e 2 con innovatori sociali/digitali</w:t>
            </w:r>
          </w:p>
        </w:tc>
        <w:tc>
          <w:tcPr>
            <w:tcW w:w="1847" w:type="dxa"/>
            <w:tcBorders/>
          </w:tcPr>
          <w:p>
            <w:pPr>
              <w:pStyle w:val="Normal"/>
              <w:widowControl/>
              <w:spacing w:before="0" w:after="0"/>
              <w:jc w:val="left"/>
              <w:rPr>
                <w:sz w:val="20"/>
                <w:szCs w:val="20"/>
              </w:rPr>
            </w:pPr>
            <w:r>
              <w:rPr>
                <w:kern w:val="0"/>
                <w:sz w:val="20"/>
                <w:szCs w:val="20"/>
                <w:lang w:val="it-IT" w:bidi="ar-SA"/>
              </w:rPr>
              <w:t xml:space="preserve">Individuare bisogni di comunità e funzionalità della piattaforma, coinvolgere persone per animazione della piattaforma </w:t>
            </w:r>
          </w:p>
        </w:tc>
        <w:tc>
          <w:tcPr>
            <w:tcW w:w="1792" w:type="dxa"/>
            <w:tcBorders/>
          </w:tcPr>
          <w:p>
            <w:pPr>
              <w:pStyle w:val="Normal"/>
              <w:widowControl/>
              <w:spacing w:before="0" w:after="0"/>
              <w:jc w:val="left"/>
              <w:rPr>
                <w:sz w:val="20"/>
                <w:szCs w:val="20"/>
              </w:rPr>
            </w:pPr>
            <w:r>
              <w:rPr>
                <w:kern w:val="0"/>
                <w:sz w:val="20"/>
                <w:szCs w:val="20"/>
                <w:lang w:val="it-IT" w:bidi="ar-SA"/>
              </w:rPr>
              <w:t>Report dei risultati dei focus-group (vedi report conclusivo della sperimentazione)</w:t>
            </w:r>
          </w:p>
        </w:tc>
      </w:tr>
      <w:tr>
        <w:trPr/>
        <w:tc>
          <w:tcPr>
            <w:tcW w:w="1837" w:type="dxa"/>
            <w:tcBorders/>
          </w:tcPr>
          <w:p>
            <w:pPr>
              <w:pStyle w:val="Normal"/>
              <w:widowControl/>
              <w:spacing w:before="0" w:after="0"/>
              <w:jc w:val="left"/>
              <w:rPr>
                <w:sz w:val="20"/>
                <w:szCs w:val="20"/>
              </w:rPr>
            </w:pPr>
            <w:r>
              <w:rPr>
                <w:kern w:val="0"/>
                <w:sz w:val="20"/>
                <w:szCs w:val="20"/>
                <w:lang w:val="it-IT" w:bidi="ar-SA"/>
              </w:rPr>
              <w:t>Analisi e accompagnamento</w:t>
            </w:r>
          </w:p>
        </w:tc>
        <w:tc>
          <w:tcPr>
            <w:tcW w:w="1135" w:type="dxa"/>
            <w:tcBorders/>
          </w:tcPr>
          <w:p>
            <w:pPr>
              <w:pStyle w:val="Normal"/>
              <w:widowControl/>
              <w:spacing w:before="0" w:after="0"/>
              <w:jc w:val="left"/>
              <w:rPr>
                <w:sz w:val="20"/>
                <w:szCs w:val="20"/>
              </w:rPr>
            </w:pPr>
            <w:r>
              <w:rPr>
                <w:kern w:val="0"/>
                <w:sz w:val="20"/>
                <w:szCs w:val="20"/>
                <w:lang w:val="it-IT" w:bidi="ar-SA"/>
              </w:rPr>
              <w:t>Ottobre/</w:t>
            </w:r>
          </w:p>
          <w:p>
            <w:pPr>
              <w:pStyle w:val="Normal"/>
              <w:widowControl/>
              <w:spacing w:before="0" w:after="0"/>
              <w:jc w:val="left"/>
              <w:rPr>
                <w:sz w:val="20"/>
                <w:szCs w:val="20"/>
              </w:rPr>
            </w:pPr>
            <w:r>
              <w:rPr>
                <w:kern w:val="0"/>
                <w:sz w:val="20"/>
                <w:szCs w:val="20"/>
                <w:lang w:val="it-IT" w:bidi="ar-SA"/>
              </w:rPr>
              <w:t>Novembre</w:t>
            </w:r>
          </w:p>
        </w:tc>
        <w:tc>
          <w:tcPr>
            <w:tcW w:w="2443" w:type="dxa"/>
            <w:tcBorders/>
          </w:tcPr>
          <w:p>
            <w:pPr>
              <w:pStyle w:val="Normal"/>
              <w:widowControl/>
              <w:spacing w:before="0" w:after="0"/>
              <w:jc w:val="left"/>
              <w:rPr>
                <w:sz w:val="20"/>
                <w:szCs w:val="20"/>
              </w:rPr>
            </w:pPr>
            <w:r>
              <w:rPr>
                <w:kern w:val="0"/>
                <w:sz w:val="20"/>
                <w:szCs w:val="20"/>
                <w:lang w:val="it-IT" w:bidi="ar-SA"/>
              </w:rPr>
              <w:t>Analisi dati raccolti nel corso della ricerca e presentazione finale della sperimentazione</w:t>
            </w:r>
          </w:p>
        </w:tc>
        <w:tc>
          <w:tcPr>
            <w:tcW w:w="1847" w:type="dxa"/>
            <w:tcBorders/>
          </w:tcPr>
          <w:p>
            <w:pPr>
              <w:pStyle w:val="Normal"/>
              <w:widowControl/>
              <w:spacing w:before="0" w:after="0"/>
              <w:jc w:val="left"/>
              <w:rPr>
                <w:sz w:val="20"/>
                <w:szCs w:val="20"/>
              </w:rPr>
            </w:pPr>
            <w:r>
              <w:rPr>
                <w:kern w:val="0"/>
                <w:sz w:val="20"/>
                <w:szCs w:val="20"/>
                <w:lang w:val="it-IT" w:bidi="ar-SA"/>
              </w:rPr>
              <w:t>Fornire esito progetto, fornire indicazioni di gestione/sviluppo della piattaforma</w:t>
            </w:r>
          </w:p>
        </w:tc>
        <w:tc>
          <w:tcPr>
            <w:tcW w:w="1792" w:type="dxa"/>
            <w:tcBorders/>
          </w:tcPr>
          <w:p>
            <w:pPr>
              <w:pStyle w:val="Normal"/>
              <w:widowControl/>
              <w:spacing w:before="0" w:after="0"/>
              <w:jc w:val="left"/>
              <w:rPr>
                <w:sz w:val="20"/>
                <w:szCs w:val="20"/>
              </w:rPr>
            </w:pPr>
            <w:r>
              <w:rPr>
                <w:kern w:val="0"/>
                <w:sz w:val="20"/>
                <w:szCs w:val="20"/>
                <w:lang w:val="it-IT" w:bidi="ar-SA"/>
              </w:rPr>
              <w:t>Report finale della ricerca-azione; to-do list di gestione e sviluppo; piattaforma Hamlet in versione beta</w:t>
            </w:r>
          </w:p>
        </w:tc>
      </w:tr>
    </w:tbl>
    <w:p>
      <w:pPr>
        <w:pStyle w:val="Normal"/>
        <w:jc w:val="both"/>
        <w:rPr>
          <w:b/>
          <w:b/>
          <w:bCs/>
        </w:rPr>
      </w:pPr>
      <w:r>
        <w:rPr/>
      </w:r>
    </w:p>
    <w:sectPr>
      <w:headerReference w:type="default" r:id="rId2"/>
      <w:headerReference w:type="first" r:id="rId3"/>
      <w:footerReference w:type="even" r:id="rId4"/>
      <w:footerReference w:type="default" r:id="rId5"/>
      <w:footerReference w:type="first" r:id="rId6"/>
      <w:footnotePr>
        <w:numFmt w:val="decimal"/>
      </w:footnotePr>
      <w:type w:val="nextPage"/>
      <w:pgSz w:w="11906" w:h="16838"/>
      <w:pgMar w:left="1418" w:right="1418" w:gutter="0" w:header="0" w:top="1134" w:footer="454" w:bottom="1418"/>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Cambria">
    <w:charset w:val="01"/>
    <w:family w:val="swiss"/>
    <w:pitch w:val="default"/>
  </w:font>
  <w:font w:name="Trebuchet MS">
    <w:charset w:val="01"/>
    <w:family w:val="swiss"/>
    <w:pitch w:val="default"/>
  </w:font>
  <w:font w:name="Minion Pro">
    <w:charset w:val="01"/>
    <w:family w:val="swiss"/>
    <w:pitch w:val="default"/>
  </w:font>
  <w:font w:name="Roboto Light">
    <w:charset w:val="01"/>
    <w:family w:val="swiss"/>
    <w:pitch w:val="default"/>
  </w:font>
  <w:font w:name="Wingdings">
    <w:charset w:val="02"/>
    <w:family w:val="swiss"/>
    <w:pitch w:val="default"/>
  </w:font>
  <w:font w:name="Helvetica Neue">
    <w:charset w:val="01"/>
    <w:family w:val="swiss"/>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27810578"/>
    </w:sdtPr>
    <w:sdtContent>
      <w:p>
        <w:pPr>
          <w:pStyle w:val="Pidipagina"/>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sdtContent>
  </w:sdt>
  <w:p>
    <w:pPr>
      <w:pStyle w:val="Pidipagina"/>
      <w:ind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61654148"/>
    </w:sdtPr>
    <w:sdtContent>
      <w:p>
        <w:pPr>
          <w:pStyle w:val="Pidipagina"/>
          <w:rPr>
            <w:rStyle w:val="Pagenumber"/>
          </w:rPr>
        </w:pPr>
        <w:r>
          <w:rPr>
            <w:rStyle w:val="Pagenumber"/>
          </w:rPr>
          <w:fldChar w:fldCharType="begin"/>
        </w:r>
        <w:r>
          <w:rPr>
            <w:rStyle w:val="Pagenumber"/>
          </w:rPr>
          <w:instrText> PAGE </w:instrText>
        </w:r>
        <w:r>
          <w:rPr>
            <w:rStyle w:val="Pagenumber"/>
          </w:rPr>
          <w:fldChar w:fldCharType="separate"/>
        </w:r>
        <w:r>
          <w:rPr>
            <w:rStyle w:val="Pagenumber"/>
          </w:rPr>
          <w:t>12</w:t>
        </w:r>
        <w:r>
          <w:rPr>
            <w:rStyle w:val="Pagenumber"/>
          </w:rPr>
          <w:fldChar w:fldCharType="end"/>
        </w:r>
      </w:p>
    </w:sdtContent>
  </w:sdt>
  <w:p>
    <w:pPr>
      <w:pStyle w:val="Paragrafobase"/>
      <w:ind w:right="360" w:hanging="0"/>
      <w:rPr/>
    </w:pPr>
    <w:r>
      <w:rPr>
        <w:rFonts w:ascii="Helvetica Neue" w:hAnsi="Helvetica Neue"/>
        <w:color w:val="595959"/>
        <w:sz w:val="12"/>
        <w:szCs w:val="12"/>
        <w:u w:val="none" w:color="595959"/>
      </w:rPr>
      <w:t xml:space="preserve">Partita IVA e codice fiscale: 00427620364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aragrafobase"/>
      <w:rPr/>
    </w:pPr>
    <w:r>
      <w:rPr>
        <w:rFonts w:ascii="Helvetica Neue" w:hAnsi="Helvetica Neue"/>
        <w:color w:val="595959"/>
        <w:sz w:val="12"/>
        <w:szCs w:val="12"/>
        <w:u w:val="none" w:color="595959"/>
      </w:rPr>
      <w:t xml:space="preserve">Partita IVA e codice fiscale: 00427620364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rmal"/>
        <w:ind w:left="284" w:hanging="284"/>
        <w:jc w:val="both"/>
        <w:rPr>
          <w:color w:val="000000" w:themeColor="text1"/>
          <w:sz w:val="18"/>
          <w:szCs w:val="18"/>
          <w:lang w:val="en-GB"/>
        </w:rPr>
      </w:pPr>
      <w:r>
        <w:rPr>
          <w:rStyle w:val="Caratterinotaapidipagina"/>
        </w:rPr>
        <w:footnoteRef/>
      </w:r>
      <w:r>
        <w:rPr>
          <w:lang w:val="en-US"/>
        </w:rPr>
        <w:tab/>
        <w:t xml:space="preserve"> </w:t>
      </w:r>
      <w:r>
        <w:rPr>
          <w:color w:val="000000" w:themeColor="text1"/>
          <w:sz w:val="18"/>
          <w:szCs w:val="18"/>
          <w:lang w:val="en-GB"/>
        </w:rPr>
        <w:t>Small M.L., Adler L. (2019). The role of space in the formation of social ties. Annual Review of Sociology, 45: 111-132. DOI: 10.1146/annurev-soc-073018-022707.</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9638"/>
        <w:tab w:val="center" w:pos="4819" w:leader="none"/>
        <w:tab w:val="right" w:pos="9044" w:leader="none"/>
      </w:tabs>
      <w:rPr/>
    </w:pPr>
    <w:r>
      <w:rPr/>
      <w:drawing>
        <wp:inline distT="0" distB="0" distL="0" distR="0">
          <wp:extent cx="5755640" cy="1375410"/>
          <wp:effectExtent l="0" t="0" r="0" b="0"/>
          <wp:docPr id="1"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
                  <pic:cNvPicPr>
                    <a:picLocks noChangeAspect="1" noChangeArrowheads="1"/>
                  </pic:cNvPicPr>
                </pic:nvPicPr>
                <pic:blipFill>
                  <a:blip r:embed="rId1"/>
                  <a:srcRect l="0" t="0" r="0" b="33116"/>
                  <a:stretch>
                    <a:fillRect/>
                  </a:stretch>
                </pic:blipFill>
                <pic:spPr bwMode="auto">
                  <a:xfrm>
                    <a:off x="0" y="0"/>
                    <a:ext cx="5755640" cy="137541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9638"/>
        <w:tab w:val="center" w:pos="4819" w:leader="none"/>
        <w:tab w:val="right" w:pos="9044" w:leader="none"/>
      </w:tabs>
      <w:rPr/>
    </w:pPr>
    <w:r>
      <w:rPr/>
      <w:drawing>
        <wp:anchor behindDoc="1" distT="0" distB="0" distL="0" distR="0" simplePos="0" locked="0" layoutInCell="0" allowOverlap="1" relativeHeight="14">
          <wp:simplePos x="0" y="0"/>
          <wp:positionH relativeFrom="column">
            <wp:posOffset>3915410</wp:posOffset>
          </wp:positionH>
          <wp:positionV relativeFrom="paragraph">
            <wp:posOffset>411480</wp:posOffset>
          </wp:positionV>
          <wp:extent cx="1786255" cy="709295"/>
          <wp:effectExtent l="0" t="0" r="0" b="0"/>
          <wp:wrapNone/>
          <wp:docPr id="2"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
                  <pic:cNvPicPr>
                    <a:picLocks noChangeAspect="1" noChangeArrowheads="1"/>
                  </pic:cNvPicPr>
                </pic:nvPicPr>
                <pic:blipFill>
                  <a:blip r:embed="rId1"/>
                  <a:stretch>
                    <a:fillRect/>
                  </a:stretch>
                </pic:blipFill>
                <pic:spPr bwMode="auto">
                  <a:xfrm>
                    <a:off x="0" y="0"/>
                    <a:ext cx="1786255" cy="709295"/>
                  </a:xfrm>
                  <a:prstGeom prst="rect">
                    <a:avLst/>
                  </a:prstGeom>
                </pic:spPr>
              </pic:pic>
            </a:graphicData>
          </a:graphic>
        </wp:anchor>
      </w:drawing>
      <w:drawing>
        <wp:inline distT="0" distB="0" distL="0" distR="0">
          <wp:extent cx="5755640" cy="2056130"/>
          <wp:effectExtent l="0" t="0" r="0" b="0"/>
          <wp:docPr id="3"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2" descr=""/>
                  <pic:cNvPicPr>
                    <a:picLocks noChangeAspect="1" noChangeArrowheads="1"/>
                  </pic:cNvPicPr>
                </pic:nvPicPr>
                <pic:blipFill>
                  <a:blip r:embed="rId2"/>
                  <a:stretch>
                    <a:fillRect/>
                  </a:stretch>
                </pic:blipFill>
                <pic:spPr bwMode="auto">
                  <a:xfrm>
                    <a:off x="0" y="0"/>
                    <a:ext cx="5755640" cy="20561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2c12"/>
    <w:pPr>
      <w:widowControl/>
      <w:bidi w:val="0"/>
      <w:spacing w:lineRule="auto" w:line="240" w:before="0" w:after="0"/>
      <w:jc w:val="left"/>
    </w:pPr>
    <w:rPr>
      <w:rFonts w:ascii="Times New Roman" w:hAnsi="Times New Roman" w:eastAsia="Times New Roman" w:cs="Times New Roman"/>
      <w:color w:val="auto"/>
      <w:kern w:val="0"/>
      <w:sz w:val="24"/>
      <w:szCs w:val="24"/>
      <w:lang w:eastAsia="it-IT" w:val="it-IT"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qFormat/>
    <w:rsid w:val="00d74988"/>
    <w:rPr>
      <w:rFonts w:ascii="Cambria" w:hAnsi="Cambria" w:eastAsia="Cambria" w:cs="Cambria"/>
      <w:color w:val="000000"/>
      <w:sz w:val="24"/>
      <w:szCs w:val="24"/>
      <w:u w:val="none" w:color="000000"/>
      <w:lang w:eastAsia="it-IT"/>
    </w:rPr>
  </w:style>
  <w:style w:type="character" w:styleId="CorpotestoCarattere" w:customStyle="1">
    <w:name w:val="Corpo testo Carattere"/>
    <w:basedOn w:val="DefaultParagraphFont"/>
    <w:link w:val="Corpotesto"/>
    <w:qFormat/>
    <w:rsid w:val="00d74988"/>
    <w:rPr>
      <w:rFonts w:ascii="Times New Roman" w:hAnsi="Times New Roman" w:eastAsia="Arial Unicode MS" w:cs="Arial Unicode MS"/>
      <w:color w:val="000000"/>
      <w:sz w:val="24"/>
      <w:szCs w:val="24"/>
      <w:u w:val="none" w:color="000000"/>
      <w:lang w:eastAsia="it-IT"/>
    </w:rPr>
  </w:style>
  <w:style w:type="character" w:styleId="TestofumettoCarattere" w:customStyle="1">
    <w:name w:val="Testo fumetto Carattere"/>
    <w:basedOn w:val="DefaultParagraphFont"/>
    <w:link w:val="Testofumetto"/>
    <w:uiPriority w:val="99"/>
    <w:semiHidden/>
    <w:qFormat/>
    <w:rsid w:val="0009588d"/>
    <w:rPr>
      <w:rFonts w:ascii="Times New Roman" w:hAnsi="Times New Roman" w:eastAsia="Arial Unicode MS" w:cs="Times New Roman"/>
      <w:sz w:val="18"/>
      <w:szCs w:val="18"/>
      <w:lang w:val="en-US"/>
    </w:rPr>
  </w:style>
  <w:style w:type="character" w:styleId="Strong">
    <w:name w:val="Strong"/>
    <w:basedOn w:val="DefaultParagraphFont"/>
    <w:uiPriority w:val="22"/>
    <w:qFormat/>
    <w:rsid w:val="0009588d"/>
    <w:rPr>
      <w:b/>
      <w:bCs/>
    </w:rPr>
  </w:style>
  <w:style w:type="character" w:styleId="Richiamoallanotaapidipagina">
    <w:name w:val="Richiamo alla nota a piè di pagina"/>
    <w:rPr>
      <w:vertAlign w:val="superscript"/>
    </w:rPr>
  </w:style>
  <w:style w:type="character" w:styleId="FootnoteCharacters">
    <w:name w:val="Footnote Characters"/>
    <w:semiHidden/>
    <w:qFormat/>
    <w:rsid w:val="003e4a58"/>
    <w:rPr>
      <w:vertAlign w:val="superscript"/>
    </w:rPr>
  </w:style>
  <w:style w:type="character" w:styleId="TestonotaapidipaginaCarattere" w:customStyle="1">
    <w:name w:val="Testo nota a piè di pagina Carattere"/>
    <w:basedOn w:val="DefaultParagraphFont"/>
    <w:link w:val="Testonotaapidipagina"/>
    <w:semiHidden/>
    <w:qFormat/>
    <w:rsid w:val="003e4a58"/>
    <w:rPr>
      <w:rFonts w:ascii="Times New Roman" w:hAnsi="Times New Roman" w:eastAsia="Times New Roman" w:cs="Times New Roman"/>
      <w:sz w:val="20"/>
      <w:szCs w:val="20"/>
      <w:lang w:eastAsia="it-IT"/>
    </w:rPr>
  </w:style>
  <w:style w:type="character" w:styleId="PidipaginaCarattere" w:customStyle="1">
    <w:name w:val="Piè di pagina Carattere"/>
    <w:basedOn w:val="DefaultParagraphFont"/>
    <w:link w:val="Pidipagina"/>
    <w:uiPriority w:val="99"/>
    <w:qFormat/>
    <w:rsid w:val="00127df5"/>
    <w:rPr>
      <w:rFonts w:ascii="Times New Roman" w:hAnsi="Times New Roman" w:eastAsia="Arial Unicode MS" w:cs="Times New Roman"/>
      <w:sz w:val="24"/>
      <w:szCs w:val="24"/>
      <w:lang w:val="en-US"/>
    </w:rPr>
  </w:style>
  <w:style w:type="character" w:styleId="Pagenumber">
    <w:name w:val="page number"/>
    <w:basedOn w:val="DefaultParagraphFont"/>
    <w:uiPriority w:val="99"/>
    <w:semiHidden/>
    <w:unhideWhenUsed/>
    <w:qFormat/>
    <w:rsid w:val="00127df5"/>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link w:val="CorpotestoCarattere"/>
    <w:rsid w:val="00d74988"/>
    <w:pPr>
      <w:widowControl/>
      <w:pBdr/>
      <w:bidi w:val="0"/>
      <w:spacing w:lineRule="auto" w:line="240" w:before="0" w:after="0"/>
      <w:jc w:val="both"/>
    </w:pPr>
    <w:rPr>
      <w:rFonts w:ascii="Times New Roman" w:hAnsi="Times New Roman" w:eastAsia="Arial Unicode MS" w:cs="Arial Unicode MS"/>
      <w:color w:val="000000"/>
      <w:kern w:val="0"/>
      <w:sz w:val="24"/>
      <w:szCs w:val="24"/>
      <w:u w:val="none" w:color="000000"/>
      <w:lang w:eastAsia="it-IT" w:val="it-IT" w:bidi="ar-SA"/>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lang w:val="zxx" w:eastAsia="zxx" w:bidi="zxx"/>
    </w:rPr>
  </w:style>
  <w:style w:type="paragraph" w:styleId="Intestazioneepidipagina">
    <w:name w:val="Intestazione e piè di pagina"/>
    <w:basedOn w:val="Normal"/>
    <w:qFormat/>
    <w:pPr/>
    <w:rPr/>
  </w:style>
  <w:style w:type="paragraph" w:styleId="Intestazione">
    <w:name w:val="Header"/>
    <w:link w:val="IntestazioneCarattere"/>
    <w:rsid w:val="00d74988"/>
    <w:pPr>
      <w:widowControl/>
      <w:pBdr/>
      <w:tabs>
        <w:tab w:val="clear" w:pos="708"/>
        <w:tab w:val="center" w:pos="4819" w:leader="none"/>
        <w:tab w:val="right" w:pos="9638" w:leader="none"/>
      </w:tabs>
      <w:bidi w:val="0"/>
      <w:spacing w:lineRule="auto" w:line="240" w:before="0" w:after="0"/>
      <w:jc w:val="left"/>
    </w:pPr>
    <w:rPr>
      <w:rFonts w:ascii="Cambria" w:hAnsi="Cambria" w:eastAsia="Cambria" w:cs="Cambria"/>
      <w:color w:val="000000"/>
      <w:kern w:val="0"/>
      <w:sz w:val="24"/>
      <w:szCs w:val="24"/>
      <w:u w:val="none" w:color="000000"/>
      <w:lang w:eastAsia="it-IT" w:val="it-IT" w:bidi="ar-SA"/>
    </w:rPr>
  </w:style>
  <w:style w:type="paragraph" w:styleId="Paragrafobase" w:customStyle="1">
    <w:name w:val="[Paragrafo base]"/>
    <w:qFormat/>
    <w:rsid w:val="00d74988"/>
    <w:pPr>
      <w:widowControl w:val="false"/>
      <w:pBdr/>
      <w:bidi w:val="0"/>
      <w:spacing w:lineRule="auto" w:line="288" w:before="0" w:after="0"/>
      <w:jc w:val="left"/>
    </w:pPr>
    <w:rPr>
      <w:rFonts w:ascii="Minion Pro" w:hAnsi="Minion Pro" w:eastAsia="Arial Unicode MS" w:cs="Arial Unicode MS"/>
      <w:color w:val="000000"/>
      <w:kern w:val="0"/>
      <w:sz w:val="24"/>
      <w:szCs w:val="24"/>
      <w:u w:val="none" w:color="000000"/>
      <w:lang w:eastAsia="it-IT" w:val="it-IT" w:bidi="ar-SA"/>
    </w:rPr>
  </w:style>
  <w:style w:type="paragraph" w:styleId="ListParagraph">
    <w:name w:val="List Paragraph"/>
    <w:basedOn w:val="Normal"/>
    <w:uiPriority w:val="34"/>
    <w:qFormat/>
    <w:rsid w:val="003d4d2c"/>
    <w:pPr>
      <w:spacing w:before="0" w:after="0"/>
      <w:ind w:left="720" w:hanging="0"/>
      <w:contextualSpacing/>
    </w:pPr>
    <w:rPr/>
  </w:style>
  <w:style w:type="paragraph" w:styleId="BalloonText">
    <w:name w:val="Balloon Text"/>
    <w:basedOn w:val="Normal"/>
    <w:link w:val="TestofumettoCarattere"/>
    <w:uiPriority w:val="99"/>
    <w:semiHidden/>
    <w:unhideWhenUsed/>
    <w:qFormat/>
    <w:rsid w:val="0009588d"/>
    <w:pPr/>
    <w:rPr>
      <w:sz w:val="18"/>
      <w:szCs w:val="18"/>
    </w:rPr>
  </w:style>
  <w:style w:type="paragraph" w:styleId="Notaapidipagina">
    <w:name w:val="Footnote Text"/>
    <w:basedOn w:val="Normal"/>
    <w:link w:val="TestonotaapidipaginaCarattere"/>
    <w:semiHidden/>
    <w:rsid w:val="003e4a58"/>
    <w:pPr/>
    <w:rPr>
      <w:sz w:val="20"/>
      <w:szCs w:val="20"/>
    </w:rPr>
  </w:style>
  <w:style w:type="paragraph" w:styleId="Pidipagina">
    <w:name w:val="Footer"/>
    <w:basedOn w:val="Normal"/>
    <w:link w:val="PidipaginaCarattere"/>
    <w:uiPriority w:val="99"/>
    <w:unhideWhenUsed/>
    <w:rsid w:val="00127df5"/>
    <w:pPr>
      <w:tabs>
        <w:tab w:val="clear" w:pos="708"/>
        <w:tab w:val="center" w:pos="4819" w:leader="none"/>
        <w:tab w:val="right" w:pos="9638" w:leader="none"/>
      </w:tabs>
    </w:pPr>
    <w:rPr/>
  </w:style>
  <w:style w:type="paragraph" w:styleId="Revision">
    <w:name w:val="Revision"/>
    <w:uiPriority w:val="99"/>
    <w:semiHidden/>
    <w:qFormat/>
    <w:rsid w:val="00ea7c54"/>
    <w:pPr>
      <w:widowControl/>
      <w:bidi w:val="0"/>
      <w:spacing w:lineRule="auto" w:line="240" w:before="0" w:after="0"/>
      <w:jc w:val="left"/>
    </w:pPr>
    <w:rPr>
      <w:rFonts w:ascii="Times New Roman" w:hAnsi="Times New Roman" w:eastAsia="Arial Unicode MS" w:cs="Times New Roman"/>
      <w:color w:val="auto"/>
      <w:kern w:val="0"/>
      <w:sz w:val="24"/>
      <w:szCs w:val="24"/>
      <w:lang w:val="en-US" w:eastAsia="en-US" w:bidi="ar-SA"/>
    </w:rPr>
  </w:style>
  <w:style w:type="paragraph" w:styleId="Default" w:customStyle="1">
    <w:name w:val="Default"/>
    <w:qFormat/>
    <w:rsid w:val="00d95507"/>
    <w:pPr>
      <w:widowControl/>
      <w:bidi w:val="0"/>
      <w:spacing w:lineRule="auto" w:line="240" w:before="0" w:after="0"/>
      <w:jc w:val="left"/>
    </w:pPr>
    <w:rPr>
      <w:rFonts w:ascii="Roboto Light" w:hAnsi="Roboto Light" w:cs="Roboto Light" w:eastAsia="Calibri"/>
      <w:color w:val="000000"/>
      <w:kern w:val="0"/>
      <w:sz w:val="24"/>
      <w:szCs w:val="24"/>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5a6d1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LibreOffice/7.2.4.1$Windows_X86_64 LibreOffice_project/27d75539669ac387bb498e35313b970b7fe9c4f9</Application>
  <AppVersion>15.0000</AppVersion>
  <Pages>12</Pages>
  <Words>5425</Words>
  <Characters>33958</Characters>
  <CharactersWithSpaces>39224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2022-08-04T11:01:00Z</dcterms:created>
  <dc:creator>Stefano</dc:creator>
  <dc:description/>
  <dc:language>it-IT</dc:language>
  <cp:lastModifiedBy>Vincenzo LUMIELLA</cp:lastModifiedBy>
  <dcterms:modified xsi:type="dcterms:W3CDTF">2022-08-04T11:01:00Z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