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59" w:before="0" w:after="0"/>
        <w:ind w:hanging="10" w:left="115" w:right="4"/>
        <w:jc w:val="center"/>
        <w:rPr>
          <w:b/>
        </w:rPr>
      </w:pPr>
      <w:r>
        <w:rPr>
          <w:b/>
        </w:rPr>
      </w:r>
    </w:p>
    <w:p>
      <w:pPr>
        <w:pStyle w:val="Normal"/>
        <w:spacing w:lineRule="auto" w:line="259" w:before="0" w:after="0"/>
        <w:ind w:hanging="10" w:left="115" w:right="4"/>
        <w:jc w:val="center"/>
        <w:rPr>
          <w:b/>
        </w:rPr>
      </w:pPr>
      <w:r>
        <w:rPr>
          <w:b/>
        </w:rPr>
      </w:r>
    </w:p>
    <w:p>
      <w:pPr>
        <w:pStyle w:val="Normal"/>
        <w:spacing w:lineRule="auto" w:line="259" w:before="0" w:after="0"/>
        <w:ind w:hanging="10" w:left="115" w:right="4"/>
        <w:jc w:val="center"/>
        <w:rPr/>
      </w:pPr>
      <w:r>
        <w:rPr>
          <w:b/>
        </w:rPr>
        <w:t>CONVENZIONE</w:t>
      </w:r>
    </w:p>
    <w:p>
      <w:pPr>
        <w:pStyle w:val="Normal"/>
        <w:spacing w:lineRule="auto" w:line="259" w:before="0" w:after="0"/>
        <w:ind w:hanging="0" w:left="0" w:right="0"/>
        <w:jc w:val="left"/>
        <w:rPr/>
      </w:pPr>
      <w:r>
        <w:rPr>
          <w:b/>
          <w:sz w:val="26"/>
        </w:rPr>
        <w:t xml:space="preserve"> </w:t>
      </w:r>
    </w:p>
    <w:p>
      <w:pPr>
        <w:pStyle w:val="Normal"/>
        <w:spacing w:lineRule="auto" w:line="259" w:before="0" w:after="0"/>
        <w:ind w:hanging="0" w:left="0" w:right="0"/>
        <w:jc w:val="left"/>
        <w:rPr/>
      </w:pPr>
      <w:r>
        <w:rPr>
          <w:b/>
          <w:sz w:val="22"/>
        </w:rPr>
        <w:t xml:space="preserve"> </w:t>
      </w:r>
    </w:p>
    <w:p>
      <w:pPr>
        <w:pStyle w:val="Heading1"/>
        <w:spacing w:before="0" w:after="130"/>
        <w:ind w:hanging="10" w:left="115" w:right="0"/>
        <w:rPr/>
      </w:pPr>
      <w:r>
        <w:rPr>
          <w:b/>
        </w:rPr>
        <w:t xml:space="preserve">TRA </w:t>
      </w:r>
    </w:p>
    <w:p>
      <w:pPr>
        <w:pStyle w:val="Normal"/>
        <w:ind w:hanging="10" w:left="135" w:right="0"/>
        <w:rPr/>
      </w:pPr>
      <w:r>
        <w:rPr/>
        <w:t xml:space="preserve">il </w:t>
      </w:r>
      <w:r>
        <w:rPr>
          <w:b/>
        </w:rPr>
        <w:t xml:space="preserve">Dipartimento di Storia Culture e Civiltà </w:t>
      </w:r>
      <w:r>
        <w:rPr/>
        <w:t xml:space="preserve">dell’Alma Mater Studiorum Università di Bologna (di seguito indicato come DISCI), - Codice Fiscale 80007010376 - Partita IVA 01131710376, nella persona della Direttrice pro tempore, nominata con Decreto Rettorale Rep.558 Prot. 94305 del 16/04/2021, Prof.ssa Francesca Sofia, domiciliata per la sua carica presso la sede del Dipartimento in Piazza San Giovanni in Monte n. 2, 40124 Bologna – BO, legittimata alla stipula del presente atto ai sensi dell’art.61 comma 5 del vigente Regolamento per l’Amministrazione, la Finanza e la Contabilità n° 1693 del 29/12/2015 e successive modifiche, e autorizzata con delibera del Consiglio di Dipartimento in data 8 giugno 2021 </w:t>
      </w:r>
    </w:p>
    <w:p>
      <w:pPr>
        <w:pStyle w:val="Normal"/>
        <w:spacing w:lineRule="auto" w:line="259" w:before="0" w:after="107"/>
        <w:ind w:hanging="0" w:left="0" w:right="6"/>
        <w:rPr/>
      </w:pPr>
      <w:r>
        <w:rPr/>
      </w:r>
    </w:p>
    <w:p>
      <w:pPr>
        <w:pStyle w:val="Normal"/>
        <w:spacing w:lineRule="auto" w:line="259" w:before="0" w:after="107"/>
        <w:ind w:hanging="10" w:left="115" w:right="6"/>
        <w:jc w:val="center"/>
        <w:rPr>
          <w:b/>
        </w:rPr>
      </w:pPr>
      <w:r>
        <w:rPr>
          <w:b/>
        </w:rPr>
        <w:t xml:space="preserve">E </w:t>
      </w:r>
    </w:p>
    <w:p>
      <w:pPr>
        <w:pStyle w:val="Normal"/>
        <w:spacing w:lineRule="auto" w:line="259" w:before="0" w:after="107"/>
        <w:ind w:hanging="10" w:left="115" w:right="6"/>
        <w:jc w:val="center"/>
        <w:rPr/>
      </w:pPr>
      <w:r>
        <w:rPr/>
      </w:r>
    </w:p>
    <w:p>
      <w:pPr>
        <w:pStyle w:val="Normal"/>
        <w:ind w:hanging="10" w:left="135" w:right="0"/>
        <w:rPr/>
      </w:pPr>
      <w:r>
        <w:rPr>
          <w:color w:val="auto"/>
        </w:rPr>
        <w:t xml:space="preserve">i Musei Civici di Reggio Emilia (di </w:t>
      </w:r>
      <w:r>
        <w:rPr/>
        <w:t>seguito indic</w:t>
      </w:r>
      <w:r>
        <w:rPr>
          <w:color w:val="auto"/>
        </w:rPr>
        <w:t xml:space="preserve">ati come "MCRE"), - </w:t>
      </w:r>
      <w:r>
        <w:rPr>
          <w:color w:val="000000"/>
          <w:shd w:fill="auto" w:val="clear"/>
        </w:rPr>
        <w:t>C.F. e P.Iva 00145920351</w:t>
      </w:r>
      <w:r>
        <w:rPr>
          <w:color w:val="auto"/>
        </w:rPr>
        <w:t xml:space="preserve"> con sede a Reggio Emilia, Piazza Prampolini, 1, 42121 Reggio Emilia, nella persona del loro Direttore Valentina Galloni, domiciliata per la sua carica presso la sede municipale in Piazza Prampolini</w:t>
      </w:r>
    </w:p>
    <w:p>
      <w:pPr>
        <w:pStyle w:val="Normal"/>
        <w:spacing w:lineRule="auto" w:line="259" w:before="0" w:after="0"/>
        <w:ind w:hanging="0" w:left="0" w:right="0"/>
        <w:jc w:val="left"/>
        <w:rPr>
          <w:color w:val="auto"/>
        </w:rPr>
      </w:pPr>
      <w:r>
        <w:rPr>
          <w:color w:val="auto"/>
          <w:sz w:val="26"/>
        </w:rPr>
        <w:t xml:space="preserve"> </w:t>
      </w:r>
    </w:p>
    <w:p>
      <w:pPr>
        <w:pStyle w:val="Normal"/>
        <w:spacing w:lineRule="auto" w:line="259" w:before="0" w:after="28"/>
        <w:ind w:hanging="0" w:left="0" w:right="0"/>
        <w:jc w:val="left"/>
        <w:rPr>
          <w:color w:val="auto"/>
        </w:rPr>
      </w:pPr>
      <w:r>
        <w:rPr>
          <w:color w:val="auto"/>
          <w:sz w:val="26"/>
        </w:rPr>
        <w:t xml:space="preserve"> </w:t>
      </w:r>
      <w:r>
        <w:rPr>
          <w:color w:val="auto"/>
        </w:rPr>
        <w:t xml:space="preserve">di seguito denominati congiuntamente “le Parti”. </w:t>
      </w:r>
    </w:p>
    <w:p>
      <w:pPr>
        <w:pStyle w:val="Normal"/>
        <w:spacing w:lineRule="auto" w:line="259" w:before="0" w:after="0"/>
        <w:ind w:hanging="0" w:left="0" w:right="0"/>
        <w:jc w:val="left"/>
        <w:rPr/>
      </w:pPr>
      <w:r>
        <w:rPr>
          <w:sz w:val="26"/>
        </w:rPr>
        <w:t xml:space="preserve"> </w:t>
      </w:r>
    </w:p>
    <w:p>
      <w:pPr>
        <w:pStyle w:val="Normal"/>
        <w:spacing w:lineRule="auto" w:line="259" w:before="0" w:after="0"/>
        <w:ind w:hanging="0" w:left="0" w:right="0"/>
        <w:jc w:val="left"/>
        <w:rPr/>
      </w:pPr>
      <w:r>
        <w:rPr>
          <w:sz w:val="22"/>
        </w:rPr>
        <w:t xml:space="preserve"> </w:t>
      </w:r>
    </w:p>
    <w:p>
      <w:pPr>
        <w:pStyle w:val="Heading1"/>
        <w:spacing w:before="0" w:after="165"/>
        <w:ind w:hanging="10" w:left="472" w:right="355"/>
        <w:rPr>
          <w:b/>
          <w:bCs/>
        </w:rPr>
      </w:pPr>
      <w:r>
        <w:rPr>
          <w:b/>
          <w:bCs/>
        </w:rPr>
        <w:t xml:space="preserve">PREMESSO CHE </w:t>
      </w:r>
    </w:p>
    <w:p>
      <w:pPr>
        <w:pStyle w:val="Normal"/>
        <w:numPr>
          <w:ilvl w:val="0"/>
          <w:numId w:val="1"/>
        </w:numPr>
        <w:ind w:hanging="360" w:left="833" w:right="0"/>
        <w:rPr/>
      </w:pPr>
      <w:r>
        <w:rPr/>
        <w:t xml:space="preserve">il DiSCi, nella sua funzione di articolazione dell’Alma Mater Studiorum – Università di Bologna, svolge le funzioni relative alla ricerca scientifica e alle attività formative nell’ambito delle discipline e delle metodologie antropologiche, archeologiche, geografiche, storiche e storico-religiose dall’antichità all’età contemporanea, tra oriente e occidente, con un focus specifico sulle seguenti aree: la storia politica, economica, istituzionale, sociale, religiosa, militare, culturale, delle idee e delle dottrine politiche; la decifrazione, l’interpretazione e l’edizione di fonti documentarie e di testi, considerati anche nelle loro forme di trasmissione e conservazione; l‘archeologia e la storia degli insediamenti e della cultura materiale; le discipline demoetnoantropologiche, la geografia umana, economica e politica; </w:t>
      </w:r>
    </w:p>
    <w:p>
      <w:pPr>
        <w:pStyle w:val="Normal"/>
        <w:numPr>
          <w:ilvl w:val="0"/>
          <w:numId w:val="1"/>
        </w:numPr>
        <w:spacing w:before="0" w:after="68"/>
        <w:ind w:hanging="360" w:left="833" w:right="0"/>
        <w:rPr/>
      </w:pPr>
      <w:r>
        <w:rPr/>
        <w:t xml:space="preserve">l’attività di ricerca e la correlata attività didattica portate avanti dal DiSCi vengono impostate, affrontate e svolte con speciale attenzione a forme di interdisciplinarità e al mantenimento e allo sviluppo di relazioni internazionali, sia per i docenti che per gli studenti; </w:t>
      </w:r>
    </w:p>
    <w:p>
      <w:pPr>
        <w:pStyle w:val="Normal"/>
        <w:numPr>
          <w:ilvl w:val="0"/>
          <w:numId w:val="1"/>
        </w:numPr>
        <w:spacing w:before="0" w:after="49"/>
        <w:ind w:hanging="360" w:left="833" w:right="0"/>
        <w:rPr/>
      </w:pPr>
      <w:r>
        <w:rPr/>
        <w:t xml:space="preserve">ai sensi dell’Art. 16, co. 2, lett. J dello Statuto di Ateneo dell’Alma Mater Studiorum – Università di Bologna, emanato con DR n. 1203/2011 del 13.12.2011 e ss.mm.ii., nello svolgimento delle proprie attività istituzionali i Dipartimenti possono promuovere accordi con soggetti pubblici e privati, anche per reperire fondi per la ricerca e la didattica; </w:t>
      </w:r>
    </w:p>
    <w:p>
      <w:pPr>
        <w:pStyle w:val="Normal"/>
        <w:numPr>
          <w:ilvl w:val="0"/>
          <w:numId w:val="1"/>
        </w:numPr>
        <w:ind w:hanging="360" w:left="833" w:right="0"/>
        <w:rPr>
          <w:color w:val="auto"/>
        </w:rPr>
      </w:pPr>
      <w:r>
        <w:rPr>
          <w:color w:val="auto"/>
        </w:rPr>
        <w:t xml:space="preserve">i MCRE, servizio del Comune di Reggio Emilia, nell'esercizio della loro funzione istituzionale e nello svolgimento dei propri compiti assicurano la conservazione, l’ordinamento, la valorizzazione, l’esposizione del proprio patrimonio e ne promuovono la conoscenza e la fruizione da parte del pubblico. In particolare danno impulso all’incremento del proprio patrimonio collezionistico; ne curano la corretta conservazione catalogazione, ordinamento e restauro; sviluppano la ricerca, la documentazione e l’informazione; </w:t>
      </w:r>
    </w:p>
    <w:p>
      <w:pPr>
        <w:pStyle w:val="Normal"/>
        <w:numPr>
          <w:ilvl w:val="0"/>
          <w:numId w:val="1"/>
        </w:numPr>
        <w:spacing w:before="0" w:after="115"/>
        <w:ind w:hanging="360" w:left="833" w:right="0"/>
        <w:rPr>
          <w:color w:val="auto"/>
        </w:rPr>
      </w:pPr>
      <w:r>
        <w:rPr>
          <w:color w:val="auto"/>
        </w:rPr>
        <w:t xml:space="preserve">le Parti hanno interesse a collaborare reciprocamente per il perseguimento delle finalità e delle attività di cui ai precedenti punti; </w:t>
      </w:r>
    </w:p>
    <w:p>
      <w:pPr>
        <w:pStyle w:val="Normal"/>
        <w:spacing w:lineRule="auto" w:line="259" w:before="0" w:after="0"/>
        <w:ind w:hanging="0" w:left="0" w:right="0"/>
        <w:jc w:val="left"/>
        <w:rPr/>
      </w:pPr>
      <w:r>
        <w:rPr>
          <w:sz w:val="37"/>
        </w:rPr>
        <w:t xml:space="preserve"> </w:t>
      </w:r>
    </w:p>
    <w:p>
      <w:pPr>
        <w:pStyle w:val="Heading1"/>
        <w:spacing w:before="0" w:after="136"/>
        <w:ind w:hanging="10" w:left="472" w:right="0"/>
        <w:rPr>
          <w:b/>
          <w:bCs/>
        </w:rPr>
      </w:pPr>
      <w:r>
        <w:rPr>
          <w:b/>
          <w:bCs/>
        </w:rPr>
        <w:t xml:space="preserve">E CONSIDERATO CHE </w:t>
      </w:r>
    </w:p>
    <w:p>
      <w:pPr>
        <w:pStyle w:val="Normal"/>
        <w:rPr/>
      </w:pPr>
      <w:r>
        <w:rPr/>
      </w:r>
    </w:p>
    <w:p>
      <w:pPr>
        <w:pStyle w:val="Normal"/>
        <w:numPr>
          <w:ilvl w:val="0"/>
          <w:numId w:val="2"/>
        </w:numPr>
        <w:spacing w:before="0" w:after="101"/>
        <w:ind w:hanging="360" w:left="833" w:right="0"/>
        <w:rPr/>
      </w:pPr>
      <w:r>
        <w:rPr/>
        <w:t xml:space="preserve">Il docente del Disci Prof. Davide Domenici, è responsabile dell’unità bolognese del PRIN 2022 </w:t>
      </w:r>
      <w:r>
        <w:rPr>
          <w:color w:themeColor="text1" w:val="000000"/>
          <w:szCs w:val="24"/>
        </w:rPr>
        <w:t>PRIN2022 “Knowledge of Things. Reassessing the Indigenous American Heritage in Italy (KNOT)”, prot. 2022RHCY5P</w:t>
      </w:r>
      <w:r>
        <w:rPr/>
        <w:t>, finalizzato allo studio del patrimonio indigeno americano conservato nei musei italiani.</w:t>
      </w:r>
    </w:p>
    <w:p>
      <w:pPr>
        <w:pStyle w:val="Normal"/>
        <w:numPr>
          <w:ilvl w:val="0"/>
          <w:numId w:val="2"/>
        </w:numPr>
        <w:spacing w:before="0" w:after="101"/>
        <w:ind w:hanging="360" w:left="833" w:right="0"/>
        <w:rPr/>
      </w:pPr>
      <w:r>
        <w:rPr/>
        <w:t>le Parti hanno sviluppato una proposta di collaborazione intesa alla realizzazione del suddetto progetto di ricerca che prevedono il censimento e lo studio di materiale indigeno americano conservato presso le se</w:t>
      </w:r>
      <w:r>
        <w:rPr>
          <w:color w:val="auto"/>
        </w:rPr>
        <w:t xml:space="preserve">di dei MCRE. </w:t>
      </w:r>
    </w:p>
    <w:p>
      <w:pPr>
        <w:pStyle w:val="Normal"/>
        <w:numPr>
          <w:ilvl w:val="0"/>
          <w:numId w:val="2"/>
        </w:numPr>
        <w:spacing w:before="0" w:after="107"/>
        <w:ind w:hanging="360" w:left="833" w:right="0"/>
        <w:rPr>
          <w:color w:val="auto"/>
        </w:rPr>
      </w:pPr>
      <w:r>
        <w:rPr>
          <w:color w:val="auto"/>
        </w:rPr>
        <w:t xml:space="preserve">le suddette attività di ricerca costituiscono un’opportunità di studio e valorizzazione delle collezioni indigene americane dei MCRE. </w:t>
      </w:r>
    </w:p>
    <w:p>
      <w:pPr>
        <w:pStyle w:val="Normal"/>
        <w:spacing w:lineRule="auto" w:line="259" w:before="0" w:after="0"/>
        <w:ind w:hanging="0" w:left="0" w:right="0"/>
        <w:jc w:val="left"/>
        <w:rPr>
          <w:color w:val="auto"/>
        </w:rPr>
      </w:pPr>
      <w:r>
        <w:rPr>
          <w:color w:val="auto"/>
          <w:sz w:val="36"/>
        </w:rPr>
        <w:t xml:space="preserve"> </w:t>
      </w:r>
    </w:p>
    <w:p>
      <w:pPr>
        <w:pStyle w:val="Normal"/>
        <w:spacing w:lineRule="auto" w:line="259" w:before="0" w:after="0"/>
        <w:ind w:hanging="0" w:left="0" w:right="0"/>
        <w:jc w:val="left"/>
        <w:rPr>
          <w:color w:val="auto"/>
        </w:rPr>
      </w:pPr>
      <w:r>
        <w:rPr>
          <w:color w:val="auto"/>
          <w:sz w:val="36"/>
        </w:rPr>
        <w:t xml:space="preserve"> </w:t>
      </w:r>
    </w:p>
    <w:p>
      <w:pPr>
        <w:pStyle w:val="Heading1"/>
        <w:ind w:hanging="10" w:left="472" w:right="355"/>
        <w:rPr>
          <w:b/>
          <w:bCs/>
        </w:rPr>
      </w:pPr>
      <w:r>
        <w:rPr>
          <w:b/>
          <w:bCs/>
          <w:color w:val="auto"/>
        </w:rPr>
        <w:t>SI CONVIENE E S</w:t>
      </w:r>
      <w:r>
        <w:rPr>
          <w:b/>
          <w:bCs/>
        </w:rPr>
        <w:t xml:space="preserve">I STIPULA QUANTO SEGUE </w:t>
      </w:r>
    </w:p>
    <w:p>
      <w:pPr>
        <w:pStyle w:val="Normal"/>
        <w:spacing w:lineRule="auto" w:line="259" w:before="0" w:after="0"/>
        <w:ind w:hanging="0" w:left="0" w:right="0"/>
        <w:jc w:val="left"/>
        <w:rPr/>
      </w:pPr>
      <w:r>
        <w:rPr>
          <w:sz w:val="26"/>
        </w:rPr>
        <w:t xml:space="preserve"> </w:t>
      </w:r>
    </w:p>
    <w:p>
      <w:pPr>
        <w:pStyle w:val="Normal"/>
        <w:spacing w:lineRule="auto" w:line="259" w:before="0" w:after="0"/>
        <w:ind w:hanging="0" w:left="0" w:right="0"/>
        <w:jc w:val="left"/>
        <w:rPr/>
      </w:pPr>
      <w:r>
        <w:rPr>
          <w:sz w:val="22"/>
        </w:rPr>
        <w:t xml:space="preserve"> </w:t>
      </w:r>
    </w:p>
    <w:p>
      <w:pPr>
        <w:pStyle w:val="Normal"/>
        <w:spacing w:lineRule="auto" w:line="259" w:before="0" w:after="107"/>
        <w:ind w:hanging="10" w:left="115" w:right="2"/>
        <w:jc w:val="center"/>
        <w:rPr/>
      </w:pPr>
      <w:r>
        <w:rPr>
          <w:b/>
        </w:rPr>
        <w:t xml:space="preserve">Art. 1 - Premesse </w:t>
      </w:r>
    </w:p>
    <w:p>
      <w:pPr>
        <w:pStyle w:val="Normal"/>
        <w:spacing w:lineRule="auto" w:line="259" w:before="0" w:after="0"/>
        <w:ind w:hanging="10" w:left="123" w:right="363"/>
        <w:rPr/>
      </w:pPr>
      <w:r>
        <w:rPr/>
        <w:t xml:space="preserve">Le premesse costituiscono parte integrante della Convenzione. </w:t>
      </w:r>
    </w:p>
    <w:p>
      <w:pPr>
        <w:pStyle w:val="Normal"/>
        <w:spacing w:lineRule="auto" w:line="259" w:before="0" w:after="0"/>
        <w:ind w:hanging="0" w:left="0" w:right="0"/>
        <w:rPr/>
      </w:pPr>
      <w:r>
        <w:rPr>
          <w:sz w:val="26"/>
        </w:rPr>
        <w:t xml:space="preserve"> </w:t>
      </w:r>
    </w:p>
    <w:p>
      <w:pPr>
        <w:pStyle w:val="Normal"/>
        <w:spacing w:lineRule="auto" w:line="259" w:before="0" w:after="0"/>
        <w:ind w:hanging="0" w:left="0" w:right="0"/>
        <w:jc w:val="left"/>
        <w:rPr/>
      </w:pPr>
      <w:r>
        <w:rPr>
          <w:sz w:val="22"/>
        </w:rPr>
        <w:t xml:space="preserve"> </w:t>
      </w:r>
    </w:p>
    <w:p>
      <w:pPr>
        <w:pStyle w:val="Heading2"/>
        <w:ind w:hanging="10" w:left="115" w:right="15"/>
        <w:rPr/>
      </w:pPr>
      <w:r>
        <w:rPr/>
        <w:t xml:space="preserve">Art. 2 - Oggetto </w:t>
      </w:r>
    </w:p>
    <w:p>
      <w:pPr>
        <w:pStyle w:val="Normal"/>
        <w:rPr/>
      </w:pPr>
      <w:r>
        <w:rPr/>
      </w:r>
    </w:p>
    <w:p>
      <w:pPr>
        <w:pStyle w:val="Normal"/>
        <w:rPr/>
      </w:pPr>
      <w:r>
        <w:rPr/>
        <w:t xml:space="preserve">Le parti si impegnano reciprocamente a fornire supporto e messa in comune di materiale e personale per la realizzazione del progetto secondo le proprie competenze, secondo le proprie disponibilità e secondo le normative applicabili e vigenti. </w:t>
      </w:r>
    </w:p>
    <w:p>
      <w:pPr>
        <w:pStyle w:val="Normal"/>
        <w:rPr/>
      </w:pPr>
      <w:r>
        <w:rPr/>
        <w:t xml:space="preserve">Nello specifico, </w:t>
      </w:r>
      <w:r>
        <w:rPr>
          <w:color w:val="auto"/>
        </w:rPr>
        <w:t>i MCRE si impegneranno a concedere l’accesso presso le proprie strutture al personale del Dipartimento coinvolto nelle attività di ricerca (a titolo esemplificativo dottorandi, assegnisti, ricercatori, docenti) nonché a collaborare con il personale responsabile delle collezioni etnografiche.</w:t>
      </w:r>
    </w:p>
    <w:p>
      <w:pPr>
        <w:pStyle w:val="Normal"/>
        <w:rPr/>
      </w:pPr>
      <w:r>
        <w:rPr/>
        <w:t xml:space="preserve">I dati emersi dalla ricerca contribuiranno al popolamento della piattaforma online KNOT costruita nell’ambito del PRIN 2022 </w:t>
      </w:r>
      <w:r>
        <w:rPr>
          <w:color w:themeColor="text1" w:val="000000"/>
          <w:szCs w:val="24"/>
        </w:rPr>
        <w:t>PRIN2022 “Knowledge of Things. Reassessing the Indigenous American Heritage in Italy (KNOT)”, prot. 2022RHCY5P</w:t>
      </w:r>
      <w:r>
        <w:rPr/>
        <w:t>, nonché alla eventuale produzione di pubblicazioni di carattere scientifico. A seguito della conclusione del lavoro di ricerca potranno essere organizzate iniziative volte alla divulgazione dei risultati ottenuti.</w:t>
      </w:r>
    </w:p>
    <w:p>
      <w:pPr>
        <w:pStyle w:val="Normal"/>
        <w:spacing w:lineRule="auto" w:line="259" w:before="0" w:after="0"/>
        <w:ind w:hanging="0" w:left="0" w:right="0"/>
        <w:jc w:val="left"/>
        <w:rPr/>
      </w:pPr>
      <w:r>
        <w:rPr/>
      </w:r>
    </w:p>
    <w:p>
      <w:pPr>
        <w:pStyle w:val="Heading2"/>
        <w:ind w:hanging="10" w:left="115" w:right="18"/>
        <w:rPr/>
      </w:pPr>
      <w:r>
        <w:rPr/>
        <w:t xml:space="preserve">Art. 3 – Oneri finanziari </w:t>
      </w:r>
    </w:p>
    <w:p>
      <w:pPr>
        <w:pStyle w:val="Normal"/>
        <w:numPr>
          <w:ilvl w:val="0"/>
          <w:numId w:val="3"/>
        </w:numPr>
        <w:ind w:hanging="10" w:left="135" w:right="0"/>
        <w:rPr/>
      </w:pPr>
      <w:r>
        <w:rPr/>
        <w:t>Fermo restando quanto previsto dagli atti di natura convenzionale, i rapporti di collaborazione instaurati ai sensi del presente Accordo avverranno a titolo gratuito tra le Parti.</w:t>
      </w:r>
    </w:p>
    <w:p>
      <w:pPr>
        <w:pStyle w:val="Normal"/>
        <w:ind w:hanging="0" w:left="135" w:right="0"/>
        <w:rPr/>
      </w:pPr>
      <w:r>
        <w:rPr/>
        <w:t xml:space="preserve">Ciascuna Parte terrà a proprio carico spese ed oneri eventualmente sostenuti per l’attività da essa direttamente svolta in attuazione del presente Accordo. </w:t>
      </w:r>
    </w:p>
    <w:p>
      <w:pPr>
        <w:pStyle w:val="Normal"/>
        <w:numPr>
          <w:ilvl w:val="0"/>
          <w:numId w:val="3"/>
        </w:numPr>
        <w:spacing w:before="0" w:after="112"/>
        <w:ind w:hanging="10" w:left="135" w:right="0"/>
        <w:rPr/>
      </w:pPr>
      <w:r>
        <w:rPr/>
        <w:t xml:space="preserve">Eventuali oneri e/o spese afferenti all’utilizzo di collaboratori, consulenti, ecc. di cui le Parti dovessero decidere di avvalersi per l’attuazione del presente Accordo, saranno ripartiti tra le stesse sulla base delle previsioni contenute in appositi atti di natura convenzionale. </w:t>
      </w:r>
    </w:p>
    <w:p>
      <w:pPr>
        <w:pStyle w:val="Normal"/>
        <w:spacing w:lineRule="auto" w:line="259" w:before="0" w:after="0"/>
        <w:ind w:hanging="0" w:left="0" w:right="0"/>
        <w:jc w:val="left"/>
        <w:rPr/>
      </w:pPr>
      <w:r>
        <w:rPr>
          <w:sz w:val="36"/>
        </w:rPr>
        <w:t xml:space="preserve"> </w:t>
      </w:r>
    </w:p>
    <w:p>
      <w:pPr>
        <w:pStyle w:val="Heading2"/>
        <w:ind w:hanging="10" w:left="115" w:right="11"/>
        <w:rPr/>
      </w:pPr>
      <w:r>
        <w:rPr/>
        <w:t xml:space="preserve">Art. 4 - Responsabilità </w:t>
      </w:r>
    </w:p>
    <w:p>
      <w:pPr>
        <w:pStyle w:val="Normal"/>
        <w:spacing w:lineRule="auto" w:line="259"/>
        <w:ind w:hanging="10" w:left="135" w:right="0"/>
        <w:rPr/>
      </w:pPr>
      <w:r>
        <w:rPr/>
        <w:t xml:space="preserve">Per la gestione e realizzazione della presente collaborazione: </w:t>
      </w:r>
    </w:p>
    <w:p>
      <w:pPr>
        <w:pStyle w:val="Normal"/>
        <w:spacing w:lineRule="auto" w:line="259" w:before="0" w:after="0"/>
        <w:ind w:hanging="0" w:left="0" w:right="0"/>
        <w:jc w:val="left"/>
        <w:rPr/>
      </w:pPr>
      <w:r>
        <w:rPr>
          <w:sz w:val="26"/>
        </w:rPr>
        <w:t xml:space="preserve"> </w:t>
      </w:r>
    </w:p>
    <w:p>
      <w:pPr>
        <w:pStyle w:val="Normal"/>
        <w:spacing w:lineRule="auto" w:line="259" w:before="0" w:after="0"/>
        <w:ind w:hanging="0" w:left="0" w:right="0"/>
        <w:jc w:val="left"/>
        <w:rPr/>
      </w:pPr>
      <w:r>
        <w:rPr>
          <w:sz w:val="22"/>
        </w:rPr>
        <w:t xml:space="preserve"> </w:t>
      </w:r>
    </w:p>
    <w:p>
      <w:pPr>
        <w:pStyle w:val="Normal"/>
        <w:numPr>
          <w:ilvl w:val="0"/>
          <w:numId w:val="4"/>
        </w:numPr>
        <w:spacing w:before="0" w:after="82"/>
        <w:ind w:hanging="360" w:left="833" w:right="0"/>
        <w:rPr/>
      </w:pPr>
      <w:r>
        <w:rPr/>
        <w:t xml:space="preserve">Il DiSCi designa il Prof. Davide Domenici </w:t>
      </w:r>
      <w:bookmarkStart w:id="0" w:name="_Hlk153889032"/>
      <w:r>
        <w:rPr/>
        <w:t xml:space="preserve">quale referente con le Parti per tutti i rapporti nascenti dalla presente Convenzione </w:t>
      </w:r>
      <w:bookmarkEnd w:id="0"/>
    </w:p>
    <w:p>
      <w:pPr>
        <w:pStyle w:val="ListParagraph"/>
        <w:numPr>
          <w:ilvl w:val="0"/>
          <w:numId w:val="4"/>
        </w:numPr>
        <w:ind w:hanging="10" w:left="833" w:right="2"/>
        <w:rPr/>
      </w:pPr>
      <w:r>
        <w:rPr>
          <w:color w:val="auto"/>
        </w:rPr>
        <w:t>I MCRE designano la dott.ssa Georgia Cantoni quale referente con le P</w:t>
      </w:r>
      <w:r>
        <w:rPr/>
        <w:t xml:space="preserve">arti per tutti i rapporti nascenti dalla presente Convenzione </w:t>
      </w:r>
    </w:p>
    <w:p>
      <w:pPr>
        <w:pStyle w:val="Normal"/>
        <w:spacing w:before="0" w:after="82"/>
        <w:ind w:hanging="0" w:left="833" w:right="0"/>
        <w:rPr/>
      </w:pPr>
      <w:r>
        <w:rPr/>
      </w:r>
    </w:p>
    <w:p>
      <w:pPr>
        <w:pStyle w:val="Normal"/>
        <w:spacing w:lineRule="auto" w:line="259" w:before="0" w:after="0"/>
        <w:ind w:hanging="0" w:left="0" w:right="0"/>
        <w:jc w:val="left"/>
        <w:rPr/>
      </w:pPr>
      <w:r>
        <w:rPr/>
      </w:r>
    </w:p>
    <w:p>
      <w:pPr>
        <w:pStyle w:val="Heading2"/>
        <w:ind w:hanging="10" w:left="115" w:right="25"/>
        <w:rPr/>
      </w:pPr>
      <w:r>
        <w:rPr/>
        <w:t xml:space="preserve">Art. 5 - Regole di comportamento presso le sedi delle altre Parti </w:t>
      </w:r>
    </w:p>
    <w:p>
      <w:pPr>
        <w:pStyle w:val="Normal"/>
        <w:numPr>
          <w:ilvl w:val="0"/>
          <w:numId w:val="5"/>
        </w:numPr>
        <w:ind w:hanging="10" w:left="135" w:right="0"/>
        <w:rPr/>
      </w:pPr>
      <w:r>
        <w:rPr/>
        <w:t xml:space="preserve">Ciascuna Parte si impegna ad accogliere, in qualità di ospite e in funzione delle esigenze di progetto specificate di volta in volta, il personale delle altre Parti operante nelle attività, oggetto del presente Accordo, secondo le proprie disponibilità e secondo le normative applicabili e vigenti. </w:t>
      </w:r>
    </w:p>
    <w:p>
      <w:pPr>
        <w:pStyle w:val="Normal"/>
        <w:numPr>
          <w:ilvl w:val="0"/>
          <w:numId w:val="5"/>
        </w:numPr>
        <w:ind w:hanging="10" w:left="135" w:right="0"/>
        <w:rPr/>
      </w:pPr>
      <w:r>
        <w:rPr/>
        <w:t xml:space="preserve">I dipendenti di ciascuna delle Parti che eventualmente si dovessero recare presso le sedi delle altre Parti, per lo svolgimento delle citate attività, saranno tenuti ad uniformarsi ai regolamenti disciplinari, di sicurezza e di protezione sanitaria in vigore presso la Parte ospitante nonché alle regole che ne disciplinano l’accesso. </w:t>
      </w:r>
    </w:p>
    <w:p>
      <w:pPr>
        <w:pStyle w:val="Normal"/>
        <w:ind w:hanging="10" w:left="135" w:right="0"/>
        <w:rPr/>
      </w:pPr>
      <w:r>
        <w:rPr/>
        <w:t xml:space="preserve">In particolare, gli stessi soggetti potranno essere edotti, anche a mezzo di appositi avvisi informativi, dei comportamenti e della disciplina regolamentare e normativa ivi vigente. </w:t>
      </w:r>
    </w:p>
    <w:p>
      <w:pPr>
        <w:pStyle w:val="Normal"/>
        <w:spacing w:before="0" w:after="110"/>
        <w:ind w:hanging="10" w:left="135" w:right="0"/>
        <w:rPr/>
      </w:pPr>
      <w:r>
        <w:rPr/>
        <w:t xml:space="preserve">Inoltre i medesimi soggetti potranno essere chiamati a sottoscrivere, per accettazione, le eventuali comunicazioni che, in merito, la Parte ospitante riterrà, per opportune ragioni di organizzazione interna, di dovere effettuare dovendovi scrupolosamente attenervisi. </w:t>
      </w:r>
    </w:p>
    <w:p>
      <w:pPr>
        <w:pStyle w:val="Normal"/>
        <w:spacing w:lineRule="auto" w:line="259" w:before="0" w:after="0"/>
        <w:ind w:hanging="0" w:left="0" w:right="0"/>
        <w:jc w:val="left"/>
        <w:rPr/>
      </w:pPr>
      <w:r>
        <w:rPr>
          <w:sz w:val="36"/>
        </w:rPr>
        <w:t xml:space="preserve"> </w:t>
      </w:r>
    </w:p>
    <w:p>
      <w:pPr>
        <w:pStyle w:val="Heading2"/>
        <w:ind w:hanging="10" w:left="115" w:right="26"/>
        <w:rPr/>
      </w:pPr>
      <w:r>
        <w:rPr/>
        <w:t xml:space="preserve">Art. 6 - Copertura assicurativa – Responsabilità civile </w:t>
      </w:r>
    </w:p>
    <w:p>
      <w:pPr>
        <w:pStyle w:val="Normal"/>
        <w:numPr>
          <w:ilvl w:val="0"/>
          <w:numId w:val="6"/>
        </w:numPr>
        <w:ind w:hanging="10" w:left="135" w:right="0"/>
        <w:rPr/>
      </w:pPr>
      <w:r>
        <w:rPr/>
        <w:t xml:space="preserve">Ciascuna Parte provvederà alla copertura assicurativa di legge delle risorse umane che saranno impiegate a qualunque titolo nelle attività di cui al presente Accordo e presso le sedi puntualmente individuate ed afferenti alla piena esplicazione degli obiettivi prefissati nell’Accordo. </w:t>
      </w:r>
    </w:p>
    <w:p>
      <w:pPr>
        <w:pStyle w:val="Normal"/>
        <w:numPr>
          <w:ilvl w:val="0"/>
          <w:numId w:val="6"/>
        </w:numPr>
        <w:ind w:hanging="10" w:left="135" w:right="0"/>
        <w:rPr/>
      </w:pPr>
      <w:r>
        <w:rPr/>
        <w:t xml:space="preserve">A garanzia dei rischi connessi dalle attività, ciascuna Parte è dotata di una assicurazione per la responsabilità civile per i danni a cose e persone, causati e/o subiti da propri dipendenti, soci, prestatori o altri addetti che partecipino alle attività connesse all’Accordo e, in ogni caso, verso terzi, per sinistri occorsi a persone e per danni a cose. </w:t>
      </w:r>
    </w:p>
    <w:p>
      <w:pPr>
        <w:pStyle w:val="Normal"/>
        <w:numPr>
          <w:ilvl w:val="0"/>
          <w:numId w:val="6"/>
        </w:numPr>
        <w:spacing w:before="0" w:after="113"/>
        <w:ind w:hanging="10" w:left="135" w:right="0"/>
        <w:rPr/>
      </w:pPr>
      <w:r>
        <w:rPr/>
        <w:t xml:space="preserve">Le Parti si impegnano a comunicare i rischi specifici esistenti nelle aree in cui verrà svolta l'attività oggetto del presente Accordo. </w:t>
      </w:r>
    </w:p>
    <w:p>
      <w:pPr>
        <w:pStyle w:val="Normal"/>
        <w:spacing w:lineRule="auto" w:line="259" w:before="0" w:after="0"/>
        <w:ind w:hanging="0" w:left="0" w:right="0"/>
        <w:jc w:val="left"/>
        <w:rPr/>
      </w:pPr>
      <w:r>
        <w:rPr>
          <w:sz w:val="36"/>
        </w:rPr>
        <w:t xml:space="preserve"> </w:t>
      </w:r>
    </w:p>
    <w:p>
      <w:pPr>
        <w:pStyle w:val="Heading2"/>
        <w:spacing w:before="0" w:after="49"/>
        <w:ind w:hanging="10" w:left="115" w:right="19"/>
        <w:rPr/>
      </w:pPr>
      <w:r>
        <w:rPr/>
        <w:t xml:space="preserve">Art. 7 - Proprietà Intellettuale </w:t>
      </w:r>
    </w:p>
    <w:p>
      <w:pPr>
        <w:pStyle w:val="Normal"/>
        <w:numPr>
          <w:ilvl w:val="0"/>
          <w:numId w:val="7"/>
        </w:numPr>
        <w:ind w:hanging="10" w:left="135" w:right="0"/>
        <w:rPr/>
      </w:pPr>
      <w:r>
        <w:rPr/>
        <w:t xml:space="preserve">Le Parti sono vicendevolmente obbligate al vincolo di confidenzialità per quanto concerne le informazioni, i dati, il KNOW HOW, le notizie che le stesse scambiano durante la vigenza e/o esecuzione del presente Accordo, ad eccezione di quelle informazioni, dati, notizie e decisioni </w:t>
      </w:r>
      <w:r>
        <w:rPr>
          <w:szCs w:val="24"/>
        </w:rPr>
        <w:t xml:space="preserve">per le quali la legge o un provvedimento amministrativo o giudiziario imponga un obbligo di comunicazione e/o salvo consenso della Parte da cui tali dati provengono. </w:t>
      </w:r>
    </w:p>
    <w:p>
      <w:pPr>
        <w:pStyle w:val="Normal"/>
        <w:numPr>
          <w:ilvl w:val="0"/>
          <w:numId w:val="7"/>
        </w:numPr>
        <w:ind w:hanging="10" w:left="135" w:right="0"/>
        <w:rPr/>
      </w:pPr>
      <w:r>
        <w:rPr/>
        <w:t xml:space="preserve">Qualsiasi diritto di proprietà intellettuale di cui sia titolare una Parte resterà nella piena esclusività della stessa, ed il relativo uso che dovesse essere consentito alle altre Parti nell’ambito del presente Accordo non implicherà il riconoscimento di alcuna licenza e/o diritto in capo alle stesse, salvi i casi in cui il trasferimento sia espressamente e previamente previsto. </w:t>
      </w:r>
    </w:p>
    <w:p>
      <w:pPr>
        <w:pStyle w:val="Normal"/>
        <w:ind w:hanging="10" w:left="135" w:right="0"/>
        <w:rPr/>
      </w:pPr>
      <w:r>
        <w:rPr/>
        <w:t xml:space="preserve">Qualsiasi diritto di proprietà intellettuale di cui sia titolare una Parte potrà essere utilizzato dalle altre Parti per le attività di cui all’Accordo Quadro solo dietro espresso consenso della Parte proprietaria ed in conformità alle regole indicate da tale Parte definita “titolare”. </w:t>
      </w:r>
    </w:p>
    <w:p>
      <w:pPr>
        <w:pStyle w:val="Normal"/>
        <w:numPr>
          <w:ilvl w:val="0"/>
          <w:numId w:val="7"/>
        </w:numPr>
        <w:ind w:hanging="10" w:left="135" w:right="0"/>
        <w:rPr/>
      </w:pPr>
      <w:r>
        <w:rPr/>
        <w:t xml:space="preserve">La proprietà dei risultati scientifici delle attività di ricerca svolte in collaborazione appartiene congiuntamente alle Parti. La co-titolarità dei conseguenti diritti di IPR sarà in proporzione all’apporto inventivo apportato da ciascuna Parte per il conseguimento dei Risultati, mentre lo sfruttamento economico degli stessi sarà regolamentato tramite successivi e specifici accordi scritti tra le Parti. Rimane salvo il diritto morale del personale che ha contribuito ai Risultati o al concepimento dell’invenzione e di altre forme di IPR ad essere riconosciuto autore. </w:t>
      </w:r>
    </w:p>
    <w:p>
      <w:pPr>
        <w:pStyle w:val="Normal"/>
        <w:numPr>
          <w:ilvl w:val="0"/>
          <w:numId w:val="7"/>
        </w:numPr>
        <w:ind w:hanging="10" w:left="135" w:right="0"/>
        <w:rPr/>
      </w:pPr>
      <w:r>
        <w:rPr/>
        <w:t xml:space="preserve">Ogni diritto di proprietà intellettuale sul Sideground eventualmente raggiunto o conseguito dalle singole parti è e rimane di esclusiva proprietà delle stesse che saranno libere di usarli, disporne e divulgarli nel modo che riterranno più opportuno. Le Parti si impegnano a condividere i risultati scientifici conseguiti nell’ambito del presente Accordo, attraverso pubblicazioni scientifiche, capitoli di libri, brevetti etc. </w:t>
      </w:r>
    </w:p>
    <w:p>
      <w:pPr>
        <w:pStyle w:val="Normal"/>
        <w:numPr>
          <w:ilvl w:val="0"/>
          <w:numId w:val="7"/>
        </w:numPr>
        <w:spacing w:before="0" w:after="110"/>
        <w:ind w:hanging="10" w:left="135" w:right="0"/>
        <w:rPr/>
      </w:pPr>
      <w:r>
        <w:rPr/>
        <w:t xml:space="preserve">Le Parti si impegnano reciprocamente a fare espresso riferimento alla collaborazione tra esse, dandone adeguato risalto in tutte le comunicazioni verso l’esterno, nelle pubblicazioni scientifiche e nelle partecipazioni congressuali. </w:t>
      </w:r>
    </w:p>
    <w:p>
      <w:pPr>
        <w:pStyle w:val="Normal"/>
        <w:spacing w:lineRule="auto" w:line="259" w:before="0" w:after="0"/>
        <w:ind w:hanging="0" w:left="0" w:right="0"/>
        <w:jc w:val="left"/>
        <w:rPr/>
      </w:pPr>
      <w:r>
        <w:rPr>
          <w:sz w:val="36"/>
        </w:rPr>
        <w:t xml:space="preserve"> </w:t>
      </w:r>
    </w:p>
    <w:p>
      <w:pPr>
        <w:pStyle w:val="Heading2"/>
        <w:ind w:hanging="10" w:left="115" w:right="25"/>
        <w:rPr/>
      </w:pPr>
      <w:r>
        <w:rPr/>
        <w:t xml:space="preserve">Art. 8 - Trattamento dei dati personali </w:t>
      </w:r>
    </w:p>
    <w:p>
      <w:pPr>
        <w:pStyle w:val="Normal"/>
        <w:spacing w:before="0" w:after="106"/>
        <w:ind w:hanging="10" w:left="135" w:right="0"/>
        <w:rPr/>
      </w:pPr>
      <w:r>
        <w:rPr/>
        <w:t xml:space="preserve">Ognuna delle Parti si impegna a trattare i dati personali unicamente per le finalità connesse all’esecuzione del presente accordo. Le Parti con la sottoscrizione del presente accordo si prestano reciproco assenso al trattamento, alla conservazione e alla comunicazione dei dati in relazione alle attività di cui all’articolo 2 e 4, ai sensi del d.lgs. 196/2003 (“Codice in materia di protezione dei dati personali”) e successive modifiche e integrazioni. </w:t>
      </w:r>
    </w:p>
    <w:p>
      <w:pPr>
        <w:pStyle w:val="Normal"/>
        <w:spacing w:lineRule="auto" w:line="259" w:before="0" w:after="0"/>
        <w:ind w:hanging="0" w:left="0" w:right="0"/>
        <w:jc w:val="left"/>
        <w:rPr/>
      </w:pPr>
      <w:r>
        <w:rPr>
          <w:sz w:val="36"/>
        </w:rPr>
        <w:t xml:space="preserve"> </w:t>
      </w:r>
    </w:p>
    <w:p>
      <w:pPr>
        <w:pStyle w:val="Heading2"/>
        <w:spacing w:before="0" w:after="45"/>
        <w:ind w:hanging="10" w:left="115" w:right="6"/>
        <w:rPr/>
      </w:pPr>
      <w:r>
        <w:rPr/>
        <w:t xml:space="preserve">Art 9 –Durata </w:t>
      </w:r>
    </w:p>
    <w:p>
      <w:pPr>
        <w:pStyle w:val="Normal"/>
        <w:ind w:hanging="10" w:left="135" w:right="0"/>
        <w:rPr/>
      </w:pPr>
      <w:r>
        <w:rPr/>
        <w:t>Il presente Accordo ha la durata fino al 31.10.2026 a decorrere dalla sua sottoscrizione e potrà essere rinnovato mediante ulteriore atto scritto tra le parti salvo disdetta da parte di uno dei contraenti da comunicarsi all’altro contraente a mezzo PEC entro e non oltre sei mesi dalla scadenza.</w:t>
      </w:r>
    </w:p>
    <w:p>
      <w:pPr>
        <w:pStyle w:val="Normal"/>
        <w:ind w:hanging="10" w:left="135" w:right="0"/>
        <w:rPr/>
      </w:pPr>
      <w:r>
        <w:rPr>
          <w:sz w:val="36"/>
        </w:rPr>
        <w:t xml:space="preserve"> </w:t>
      </w:r>
    </w:p>
    <w:p>
      <w:pPr>
        <w:pStyle w:val="Heading2"/>
        <w:ind w:hanging="10" w:left="115" w:right="24"/>
        <w:rPr/>
      </w:pPr>
      <w:r>
        <w:rPr/>
        <w:t xml:space="preserve">Art. 10 - Clausola compromissoria e foro competente </w:t>
      </w:r>
    </w:p>
    <w:p>
      <w:pPr>
        <w:pStyle w:val="Normal"/>
        <w:spacing w:before="0" w:after="113"/>
        <w:ind w:hanging="10" w:left="135" w:right="0"/>
        <w:rPr/>
      </w:pPr>
      <w:r>
        <w:rPr/>
        <w:t xml:space="preserve">Per ogni controversia che possa insorgere in ordine alla validità, interpretazione, esecuzione o risoluzione della presente accordo, dopo un preliminare tentativo di soluzione in via conciliativa, sarà competente in via esclusiva il Foro di Bologna. </w:t>
      </w:r>
    </w:p>
    <w:p>
      <w:pPr>
        <w:pStyle w:val="Normal"/>
        <w:spacing w:lineRule="auto" w:line="259" w:before="0" w:after="0"/>
        <w:ind w:hanging="0" w:left="0" w:right="0"/>
        <w:jc w:val="left"/>
        <w:rPr/>
      </w:pPr>
      <w:r>
        <w:rPr>
          <w:sz w:val="36"/>
        </w:rPr>
        <w:t xml:space="preserve"> </w:t>
      </w:r>
    </w:p>
    <w:p>
      <w:pPr>
        <w:pStyle w:val="Heading2"/>
        <w:ind w:hanging="10" w:left="115"/>
        <w:rPr/>
      </w:pPr>
      <w:r>
        <w:rPr/>
        <w:t xml:space="preserve">Art. 13 - Spese di registrazione </w:t>
      </w:r>
    </w:p>
    <w:p>
      <w:pPr>
        <w:pStyle w:val="Normal"/>
        <w:spacing w:lineRule="auto" w:line="259" w:before="0" w:after="115"/>
        <w:ind w:hanging="10" w:left="135" w:right="0"/>
        <w:rPr/>
      </w:pPr>
      <w:r>
        <w:rPr/>
        <w:t>Il presente Accordo Quadro è soggetto a registrazione solo in caso d'uso ai sensi degli artt. 5, 6 e 39 del D.P.R. n. 131 del 26 aprile 1986.</w:t>
      </w:r>
    </w:p>
    <w:p>
      <w:pPr>
        <w:pStyle w:val="Normal"/>
        <w:spacing w:lineRule="auto" w:line="259" w:before="0" w:after="127"/>
        <w:ind w:hanging="10" w:left="135" w:right="0"/>
        <w:rPr/>
      </w:pPr>
      <w:r>
        <w:rPr/>
        <w:t xml:space="preserve">Le spese per l’eventuale registrazione sono a carico della Parte richiedente. </w:t>
      </w:r>
    </w:p>
    <w:p>
      <w:pPr>
        <w:pStyle w:val="Normal"/>
        <w:spacing w:before="0" w:after="110"/>
        <w:ind w:hanging="10" w:left="135" w:right="0"/>
        <w:rPr/>
      </w:pPr>
      <w:r>
        <w:rPr/>
        <w:t xml:space="preserve">L’imposta di bollo è assolta in maniera virtuale dell’Università di Bologna (Autorizzazione n. 14328 del 13 dicembre 2018) a cura del Dipartimento di Storia Culture Civiltà. </w:t>
      </w:r>
    </w:p>
    <w:p>
      <w:pPr>
        <w:pStyle w:val="Normal"/>
        <w:spacing w:lineRule="auto" w:line="259" w:before="0" w:after="0"/>
        <w:ind w:hanging="0" w:left="0" w:right="0"/>
        <w:jc w:val="left"/>
        <w:rPr/>
      </w:pPr>
      <w:r>
        <w:rPr>
          <w:sz w:val="36"/>
        </w:rPr>
        <w:t xml:space="preserve"> </w:t>
      </w:r>
    </w:p>
    <w:p>
      <w:pPr>
        <w:pStyle w:val="Heading2"/>
        <w:ind w:hanging="10" w:left="115" w:right="13"/>
        <w:rPr/>
      </w:pPr>
      <w:r>
        <w:rPr/>
        <w:t xml:space="preserve">Art. 14 - Rinvio </w:t>
      </w:r>
    </w:p>
    <w:p>
      <w:pPr>
        <w:pStyle w:val="Normal"/>
        <w:spacing w:before="0" w:after="33"/>
        <w:ind w:hanging="10" w:left="135" w:right="0"/>
        <w:rPr/>
      </w:pPr>
      <w:r>
        <w:rPr/>
        <w:t xml:space="preserve">Per quanto non espressamente previsto nel presente accordo si fa riferimento alla normativa vigente in materia. </w:t>
      </w:r>
    </w:p>
    <w:p>
      <w:pPr>
        <w:pStyle w:val="Normal"/>
        <w:spacing w:lineRule="auto" w:line="259" w:before="0" w:after="25"/>
        <w:ind w:hanging="0" w:left="0" w:right="0"/>
        <w:jc w:val="left"/>
        <w:rPr/>
      </w:pPr>
      <w:r>
        <w:rPr>
          <w:sz w:val="28"/>
        </w:rPr>
        <w:t xml:space="preserve"> </w:t>
      </w:r>
    </w:p>
    <w:p>
      <w:pPr>
        <w:pStyle w:val="Normal"/>
        <w:tabs>
          <w:tab w:val="clear" w:pos="708"/>
          <w:tab w:val="center" w:pos="2469" w:leader="none"/>
          <w:tab w:val="center" w:pos="7256" w:leader="none"/>
        </w:tabs>
        <w:spacing w:lineRule="auto" w:line="259" w:before="0" w:after="121"/>
        <w:ind w:hanging="0" w:left="0" w:right="0"/>
        <w:jc w:val="left"/>
        <w:rPr/>
      </w:pPr>
      <w:r>
        <w:rPr/>
        <w:t xml:space="preserve">Alma Mater Studiorum Università di Bologna - </w:t>
      </w:r>
    </w:p>
    <w:p>
      <w:pPr>
        <w:pStyle w:val="Normal"/>
        <w:tabs>
          <w:tab w:val="clear" w:pos="708"/>
          <w:tab w:val="center" w:pos="2470" w:leader="none"/>
          <w:tab w:val="center" w:pos="6864" w:leader="none"/>
        </w:tabs>
        <w:spacing w:lineRule="auto" w:line="259" w:before="0" w:after="119"/>
        <w:ind w:hanging="0" w:left="0" w:right="0"/>
        <w:jc w:val="left"/>
        <w:rPr/>
      </w:pPr>
      <w:r>
        <w:rPr/>
        <w:t xml:space="preserve">Dipartimento di Storia Culture Civiltà </w:t>
      </w:r>
    </w:p>
    <w:p>
      <w:pPr>
        <w:pStyle w:val="Normal"/>
        <w:tabs>
          <w:tab w:val="clear" w:pos="708"/>
          <w:tab w:val="center" w:pos="1030" w:leader="none"/>
          <w:tab w:val="center" w:pos="5912" w:leader="none"/>
        </w:tabs>
        <w:spacing w:lineRule="auto" w:line="259" w:before="0" w:after="124"/>
        <w:ind w:hanging="0" w:left="0" w:right="0"/>
        <w:jc w:val="left"/>
        <w:rPr/>
      </w:pPr>
      <w:r>
        <w:rPr/>
        <w:tab/>
        <w:t xml:space="preserve">LA DIRETTRICE </w:t>
      </w:r>
    </w:p>
    <w:p>
      <w:pPr>
        <w:pStyle w:val="Normal"/>
        <w:pBdr>
          <w:bottom w:val="single" w:sz="12" w:space="1" w:color="000000"/>
        </w:pBdr>
        <w:tabs>
          <w:tab w:val="clear" w:pos="708"/>
          <w:tab w:val="center" w:pos="1207" w:leader="none"/>
          <w:tab w:val="center" w:pos="6243" w:leader="none"/>
        </w:tabs>
        <w:spacing w:before="0" w:after="335"/>
        <w:ind w:hanging="0" w:left="0" w:right="0"/>
        <w:jc w:val="left"/>
        <w:rPr/>
      </w:pPr>
      <w:r>
        <w:rPr/>
        <w:t xml:space="preserve"> </w:t>
      </w:r>
      <w:r>
        <w:rPr/>
        <w:tab/>
        <w:t xml:space="preserve">Prof.ssa Francesca Sofia* </w:t>
      </w:r>
    </w:p>
    <w:p>
      <w:pPr>
        <w:pStyle w:val="Normal"/>
        <w:spacing w:lineRule="auto" w:line="259" w:before="0" w:after="72"/>
        <w:ind w:hanging="10" w:left="123" w:right="0"/>
        <w:rPr/>
      </w:pPr>
      <w:r>
        <w:rPr/>
        <w:t xml:space="preserve">IL DIRETTORE </w:t>
      </w:r>
    </w:p>
    <w:p>
      <w:pPr>
        <w:pStyle w:val="Normal"/>
        <w:spacing w:lineRule="auto" w:line="259" w:before="0" w:after="367"/>
        <w:ind w:hanging="10" w:left="123" w:right="0"/>
        <w:rPr/>
      </w:pPr>
      <w:r>
        <w:rPr/>
        <w:t xml:space="preserve">________* </w:t>
      </w:r>
    </w:p>
    <w:p>
      <w:pPr>
        <w:pStyle w:val="Normal"/>
        <w:numPr>
          <w:ilvl w:val="0"/>
          <w:numId w:val="8"/>
        </w:numPr>
        <w:spacing w:lineRule="auto" w:line="259" w:before="0" w:after="115"/>
        <w:ind w:hanging="146" w:left="244" w:right="0"/>
        <w:jc w:val="left"/>
        <w:rPr>
          <w:i/>
          <w:i/>
          <w:iCs/>
        </w:rPr>
      </w:pPr>
      <w:r>
        <w:rPr>
          <w:rFonts w:eastAsia="Cambria" w:cs="Cambria" w:ascii="Cambria" w:hAnsi="Cambria"/>
          <w:i/>
          <w:iCs/>
        </w:rPr>
        <w:t xml:space="preserve">La data di stipula coincide con la data di apposizione dell’ultima firma digitale. </w:t>
      </w:r>
    </w:p>
    <w:p>
      <w:pPr>
        <w:pStyle w:val="Normal"/>
        <w:numPr>
          <w:ilvl w:val="0"/>
          <w:numId w:val="8"/>
        </w:numPr>
        <w:spacing w:lineRule="auto" w:line="259" w:before="0" w:after="115"/>
        <w:ind w:hanging="146" w:left="244" w:right="0"/>
        <w:jc w:val="left"/>
        <w:rPr>
          <w:i/>
          <w:i/>
          <w:iCs/>
        </w:rPr>
      </w:pPr>
      <w:r>
        <w:rPr>
          <w:rFonts w:eastAsia="Cambria" w:cs="Cambria" w:ascii="Cambria" w:hAnsi="Cambria"/>
          <w:i/>
          <w:iCs/>
        </w:rPr>
        <w:t xml:space="preserve">Documento sottoscritto con firma digitale ai sensi del D.Lgs. 7 marzo 2005, n. 82 e del D.P.C.M. </w:t>
      </w:r>
    </w:p>
    <w:p>
      <w:pPr>
        <w:pStyle w:val="Normal"/>
        <w:spacing w:lineRule="auto" w:line="259" w:before="0" w:after="115"/>
        <w:ind w:hanging="10" w:left="108" w:right="0"/>
        <w:jc w:val="left"/>
        <w:rPr>
          <w:i/>
          <w:i/>
          <w:iCs/>
        </w:rPr>
      </w:pPr>
      <w:r>
        <w:rPr>
          <w:rFonts w:eastAsia="Cambria" w:cs="Cambria" w:ascii="Cambria" w:hAnsi="Cambria"/>
          <w:i/>
          <w:iCs/>
        </w:rPr>
        <w:t xml:space="preserve">22 febbraio 2013 e ss.mm.ii. </w:t>
      </w:r>
    </w:p>
    <w:sectPr>
      <w:headerReference w:type="default" r:id="rId2"/>
      <w:footerReference w:type="even" r:id="rId3"/>
      <w:footerReference w:type="default" r:id="rId4"/>
      <w:footerReference w:type="first" r:id="rId5"/>
      <w:type w:val="nextPage"/>
      <w:pgSz w:w="11906" w:h="16838"/>
      <w:pgMar w:left="1020" w:right="1122" w:gutter="0" w:header="720" w:top="1325" w:footer="694" w:bottom="948"/>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Times New Roman">
    <w:charset w:val="01"/>
    <w:family w:val="swiss"/>
    <w:pitch w:val="default"/>
  </w:font>
  <w:font w:name="Segoe UI">
    <w:charset w:val="01"/>
    <w:family w:val="swiss"/>
    <w:pitch w:val="default"/>
  </w:font>
  <w:font w:name="Trebuchet MS">
    <w:charset w:val="01"/>
    <w:family w:val="swiss"/>
    <w:pitch w:val="default"/>
  </w:font>
  <w:font w:name="Cambria">
    <w:charset w:val="01"/>
    <w:family w:val="swiss"/>
    <w:pitch w:val="default"/>
  </w:font>
  <w:font w:name="Arial">
    <w:charset w:val="01"/>
    <w:family w:val="swiss"/>
    <w:pitch w:val="variable"/>
  </w:font>
  <w:font w:name="Segoe UI Symbol">
    <w:charset w:val="01"/>
    <w:family w:val="swiss"/>
    <w:pitch w:val="variable"/>
  </w:font>
  <w:font w:name="Cambria">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right" w:pos="9769" w:leader="none"/>
      </w:tabs>
      <w:spacing w:lineRule="auto" w:line="259" w:before="0" w:after="0"/>
      <w:ind w:hanging="0" w:left="0" w:right="0"/>
      <w:jc w:val="left"/>
      <w:rPr/>
    </w:pPr>
    <w:r>
      <w:rPr>
        <w:sz w:val="20"/>
      </w:rPr>
      <w:t xml:space="preserve"> </w:t>
    </w:r>
    <w:r>
      <w:rPr>
        <w:sz w:val="20"/>
      </w:rPr>
      <w:tab/>
    </w:r>
    <w:r>
      <w:rPr>
        <w:sz w:val="20"/>
      </w:rPr>
      <w:fldChar w:fldCharType="begin"/>
    </w:r>
    <w:r>
      <w:rPr>
        <w:sz w:val="20"/>
      </w:rPr>
      <w:instrText xml:space="preserve"> PAGE </w:instrText>
    </w:r>
    <w:r>
      <w:rPr>
        <w:sz w:val="20"/>
      </w:rPr>
      <w:fldChar w:fldCharType="separate"/>
    </w:r>
    <w:r>
      <w:rPr>
        <w:sz w:val="20"/>
      </w:rPr>
      <w:t>0</w:t>
    </w:r>
    <w:r>
      <w:rPr>
        <w:sz w:val="20"/>
      </w:rPr>
      <w:fldChar w:fldCharType="end"/>
    </w:r>
    <w:r>
      <w:rPr>
        <w:sz w:val="20"/>
      </w:rPr>
      <w:t xml:space="preserve"> </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right" w:pos="9769" w:leader="none"/>
      </w:tabs>
      <w:spacing w:lineRule="auto" w:line="259" w:before="0" w:after="0"/>
      <w:ind w:hanging="0" w:left="0" w:right="0"/>
      <w:jc w:val="left"/>
      <w:rPr/>
    </w:pPr>
    <w:r>
      <w:rPr>
        <w:sz w:val="20"/>
      </w:rPr>
      <w:t xml:space="preserve"> </w:t>
    </w:r>
    <w:r>
      <w:rPr>
        <w:sz w:val="20"/>
      </w:rPr>
      <w:tab/>
    </w:r>
    <w:r>
      <w:rPr>
        <w:sz w:val="20"/>
      </w:rPr>
      <w:fldChar w:fldCharType="begin"/>
    </w:r>
    <w:r>
      <w:rPr>
        <w:sz w:val="20"/>
      </w:rPr>
      <w:instrText xml:space="preserve"> PAGE </w:instrText>
    </w:r>
    <w:r>
      <w:rPr>
        <w:sz w:val="20"/>
      </w:rPr>
      <w:fldChar w:fldCharType="separate"/>
    </w:r>
    <w:r>
      <w:rPr>
        <w:sz w:val="20"/>
      </w:rPr>
      <w:t>6</w:t>
    </w:r>
    <w:r>
      <w:rPr>
        <w:sz w:val="20"/>
      </w:rPr>
      <w:fldChar w:fldCharType="end"/>
    </w:r>
    <w:r>
      <w:rPr>
        <w:sz w:val="20"/>
      </w:rPr>
      <w:t xml:space="preserve"> </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right" w:pos="9769" w:leader="none"/>
      </w:tabs>
      <w:spacing w:lineRule="auto" w:line="259" w:before="0" w:after="0"/>
      <w:ind w:hanging="0" w:left="0" w:right="0"/>
      <w:jc w:val="left"/>
      <w:rPr/>
    </w:pPr>
    <w:r>
      <w:rPr>
        <w:sz w:val="20"/>
      </w:rPr>
      <w:t xml:space="preserve"> </w:t>
    </w:r>
    <w:r>
      <w:rPr>
        <w:sz w:val="20"/>
      </w:rPr>
      <w:tab/>
    </w:r>
    <w:r>
      <w:rPr>
        <w:sz w:val="20"/>
      </w:rPr>
      <w:fldChar w:fldCharType="begin"/>
    </w:r>
    <w:r>
      <w:rPr>
        <w:sz w:val="20"/>
      </w:rPr>
      <w:instrText xml:space="preserve"> PAGE </w:instrText>
    </w:r>
    <w:r>
      <w:rPr>
        <w:sz w:val="20"/>
      </w:rPr>
      <w:fldChar w:fldCharType="separate"/>
    </w:r>
    <w:r>
      <w:rPr>
        <w:sz w:val="20"/>
      </w:rPr>
      <w:t>6</w:t>
    </w:r>
    <w:r>
      <w:rPr>
        <w:sz w:val="20"/>
      </w:rPr>
      <w:fldChar w:fldCharType="end"/>
    </w:r>
    <w:r>
      <w:rPr>
        <w:sz w:val="20"/>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inline distT="0" distB="0" distL="0" distR="0">
          <wp:extent cx="4652645" cy="574675"/>
          <wp:effectExtent l="0" t="0" r="0" b="0"/>
          <wp:docPr id="1" name="Immagin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5" descr=""/>
                  <pic:cNvPicPr>
                    <a:picLocks noChangeAspect="1" noChangeArrowheads="1"/>
                  </pic:cNvPicPr>
                </pic:nvPicPr>
                <pic:blipFill>
                  <a:blip r:embed="rId1"/>
                  <a:stretch>
                    <a:fillRect/>
                  </a:stretch>
                </pic:blipFill>
                <pic:spPr bwMode="auto">
                  <a:xfrm>
                    <a:off x="0" y="0"/>
                    <a:ext cx="4652645" cy="574675"/>
                  </a:xfrm>
                  <a:prstGeom prst="rect">
                    <a:avLst/>
                  </a:prstGeom>
                </pic:spPr>
              </pic:pic>
            </a:graphicData>
          </a:graphic>
        </wp:inline>
      </w:drawing>
      <w:drawing>
        <wp:anchor behindDoc="1" distT="0" distB="0" distL="114935" distR="114935" simplePos="0" locked="0" layoutInCell="0" allowOverlap="1" relativeHeight="13">
          <wp:simplePos x="0" y="0"/>
          <wp:positionH relativeFrom="column">
            <wp:posOffset>4608830</wp:posOffset>
          </wp:positionH>
          <wp:positionV relativeFrom="paragraph">
            <wp:posOffset>52070</wp:posOffset>
          </wp:positionV>
          <wp:extent cx="532765" cy="452755"/>
          <wp:effectExtent l="0" t="0" r="0" b="0"/>
          <wp:wrapSquare wrapText="bothSides"/>
          <wp:docPr id="2" name="Immagin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2" descr=""/>
                  <pic:cNvPicPr>
                    <a:picLocks noChangeAspect="1" noChangeArrowheads="1"/>
                  </pic:cNvPicPr>
                </pic:nvPicPr>
                <pic:blipFill>
                  <a:blip r:embed="rId2"/>
                  <a:srcRect l="-1407" t="-1645" r="-1407" b="-1645"/>
                  <a:stretch>
                    <a:fillRect/>
                  </a:stretch>
                </pic:blipFill>
                <pic:spPr bwMode="auto">
                  <a:xfrm>
                    <a:off x="0" y="0"/>
                    <a:ext cx="532765" cy="452755"/>
                  </a:xfrm>
                  <a:prstGeom prst="rect">
                    <a:avLst/>
                  </a:prstGeom>
                </pic:spPr>
              </pic:pic>
            </a:graphicData>
          </a:graphic>
        </wp:anchor>
      </w:drawing>
      <w:drawing>
        <wp:anchor behindDoc="1" distT="0" distB="0" distL="114935" distR="114935" simplePos="0" locked="0" layoutInCell="0" allowOverlap="1" relativeHeight="19">
          <wp:simplePos x="0" y="0"/>
          <wp:positionH relativeFrom="column">
            <wp:posOffset>5140960</wp:posOffset>
          </wp:positionH>
          <wp:positionV relativeFrom="paragraph">
            <wp:posOffset>99060</wp:posOffset>
          </wp:positionV>
          <wp:extent cx="646430" cy="369570"/>
          <wp:effectExtent l="0" t="0" r="0" b="0"/>
          <wp:wrapSquare wrapText="bothSides"/>
          <wp:docPr id="3" name="Immagin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3" descr=""/>
                  <pic:cNvPicPr>
                    <a:picLocks noChangeAspect="1" noChangeArrowheads="1"/>
                  </pic:cNvPicPr>
                </pic:nvPicPr>
                <pic:blipFill>
                  <a:blip r:embed="rId3"/>
                  <a:srcRect l="-318" t="-550" r="-318" b="-550"/>
                  <a:stretch>
                    <a:fillRect/>
                  </a:stretch>
                </pic:blipFill>
                <pic:spPr bwMode="auto">
                  <a:xfrm>
                    <a:off x="0" y="0"/>
                    <a:ext cx="646430" cy="36957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833" w:hanging="0"/>
      </w:pPr>
      <w:rPr>
        <w:rFonts w:ascii="Arial" w:hAnsi="Arial" w:cs="Arial" w:hint="default"/>
        <w:dstrike w:val="false"/>
        <w:strike w:val="false"/>
        <w:vertAlign w:val="baseline"/>
        <w:position w:val="0"/>
        <w:sz w:val="24"/>
        <w:sz w:val="24"/>
        <w:i w:val="false"/>
        <w:u w:val="none" w:color="000000"/>
        <w:b w:val="false"/>
        <w:shd w:fill="auto" w:val="clear"/>
        <w:szCs w:val="24"/>
        <w:color w:val="000000"/>
      </w:rPr>
    </w:lvl>
    <w:lvl w:ilvl="1">
      <w:start w:val="1"/>
      <w:numFmt w:val="bullet"/>
      <w:lvlText w:val="o"/>
      <w:lvlJc w:val="left"/>
      <w:pPr>
        <w:tabs>
          <w:tab w:val="num" w:pos="0"/>
        </w:tabs>
        <w:ind w:left="1553" w:hanging="0"/>
      </w:pPr>
      <w:rPr>
        <w:rFonts w:ascii="Segoe UI Symbol" w:hAnsi="Segoe UI Symbol" w:cs="Segoe UI Symbol" w:hint="default"/>
        <w:dstrike w:val="false"/>
        <w:strike w:val="false"/>
        <w:vertAlign w:val="baseline"/>
        <w:position w:val="0"/>
        <w:sz w:val="24"/>
        <w:sz w:val="24"/>
        <w:i w:val="false"/>
        <w:u w:val="none" w:color="000000"/>
        <w:b w:val="false"/>
        <w:shd w:fill="auto" w:val="clear"/>
        <w:szCs w:val="24"/>
        <w:color w:val="000000"/>
      </w:rPr>
    </w:lvl>
    <w:lvl w:ilvl="2">
      <w:start w:val="1"/>
      <w:numFmt w:val="bullet"/>
      <w:lvlText w:val="▪"/>
      <w:lvlJc w:val="left"/>
      <w:pPr>
        <w:tabs>
          <w:tab w:val="num" w:pos="0"/>
        </w:tabs>
        <w:ind w:left="2273" w:hanging="0"/>
      </w:pPr>
      <w:rPr>
        <w:rFonts w:ascii="Segoe UI Symbol" w:hAnsi="Segoe UI Symbol" w:cs="Segoe UI Symbol" w:hint="default"/>
        <w:dstrike w:val="false"/>
        <w:strike w:val="false"/>
        <w:vertAlign w:val="baseline"/>
        <w:position w:val="0"/>
        <w:sz w:val="24"/>
        <w:sz w:val="24"/>
        <w:i w:val="false"/>
        <w:u w:val="none" w:color="000000"/>
        <w:b w:val="false"/>
        <w:shd w:fill="auto" w:val="clear"/>
        <w:szCs w:val="24"/>
        <w:color w:val="000000"/>
      </w:rPr>
    </w:lvl>
    <w:lvl w:ilvl="3">
      <w:start w:val="1"/>
      <w:numFmt w:val="bullet"/>
      <w:lvlText w:val="•"/>
      <w:lvlJc w:val="left"/>
      <w:pPr>
        <w:tabs>
          <w:tab w:val="num" w:pos="0"/>
        </w:tabs>
        <w:ind w:left="2993" w:hanging="0"/>
      </w:pPr>
      <w:rPr>
        <w:rFonts w:ascii="Arial" w:hAnsi="Arial" w:cs="Arial" w:hint="default"/>
        <w:dstrike w:val="false"/>
        <w:strike w:val="false"/>
        <w:vertAlign w:val="baseline"/>
        <w:position w:val="0"/>
        <w:sz w:val="24"/>
        <w:sz w:val="24"/>
        <w:i w:val="false"/>
        <w:u w:val="none" w:color="000000"/>
        <w:b w:val="false"/>
        <w:shd w:fill="auto" w:val="clear"/>
        <w:szCs w:val="24"/>
        <w:color w:val="000000"/>
      </w:rPr>
    </w:lvl>
    <w:lvl w:ilvl="4">
      <w:start w:val="1"/>
      <w:numFmt w:val="bullet"/>
      <w:lvlText w:val="o"/>
      <w:lvlJc w:val="left"/>
      <w:pPr>
        <w:tabs>
          <w:tab w:val="num" w:pos="0"/>
        </w:tabs>
        <w:ind w:left="3713" w:hanging="0"/>
      </w:pPr>
      <w:rPr>
        <w:rFonts w:ascii="Segoe UI Symbol" w:hAnsi="Segoe UI Symbol" w:cs="Segoe UI Symbol" w:hint="default"/>
        <w:dstrike w:val="false"/>
        <w:strike w:val="false"/>
        <w:vertAlign w:val="baseline"/>
        <w:position w:val="0"/>
        <w:sz w:val="24"/>
        <w:sz w:val="24"/>
        <w:i w:val="false"/>
        <w:u w:val="none" w:color="000000"/>
        <w:b w:val="false"/>
        <w:shd w:fill="auto" w:val="clear"/>
        <w:szCs w:val="24"/>
        <w:color w:val="000000"/>
      </w:rPr>
    </w:lvl>
    <w:lvl w:ilvl="5">
      <w:start w:val="1"/>
      <w:numFmt w:val="bullet"/>
      <w:lvlText w:val="▪"/>
      <w:lvlJc w:val="left"/>
      <w:pPr>
        <w:tabs>
          <w:tab w:val="num" w:pos="0"/>
        </w:tabs>
        <w:ind w:left="4433" w:hanging="0"/>
      </w:pPr>
      <w:rPr>
        <w:rFonts w:ascii="Segoe UI Symbol" w:hAnsi="Segoe UI Symbol" w:cs="Segoe UI Symbol" w:hint="default"/>
        <w:dstrike w:val="false"/>
        <w:strike w:val="false"/>
        <w:vertAlign w:val="baseline"/>
        <w:position w:val="0"/>
        <w:sz w:val="24"/>
        <w:sz w:val="24"/>
        <w:i w:val="false"/>
        <w:u w:val="none" w:color="000000"/>
        <w:b w:val="false"/>
        <w:shd w:fill="auto" w:val="clear"/>
        <w:szCs w:val="24"/>
        <w:color w:val="000000"/>
      </w:rPr>
    </w:lvl>
    <w:lvl w:ilvl="6">
      <w:start w:val="1"/>
      <w:numFmt w:val="bullet"/>
      <w:lvlText w:val="•"/>
      <w:lvlJc w:val="left"/>
      <w:pPr>
        <w:tabs>
          <w:tab w:val="num" w:pos="0"/>
        </w:tabs>
        <w:ind w:left="5153" w:hanging="0"/>
      </w:pPr>
      <w:rPr>
        <w:rFonts w:ascii="Arial" w:hAnsi="Arial" w:cs="Arial" w:hint="default"/>
        <w:dstrike w:val="false"/>
        <w:strike w:val="false"/>
        <w:vertAlign w:val="baseline"/>
        <w:position w:val="0"/>
        <w:sz w:val="24"/>
        <w:sz w:val="24"/>
        <w:i w:val="false"/>
        <w:u w:val="none" w:color="000000"/>
        <w:b w:val="false"/>
        <w:shd w:fill="auto" w:val="clear"/>
        <w:szCs w:val="24"/>
        <w:color w:val="000000"/>
      </w:rPr>
    </w:lvl>
    <w:lvl w:ilvl="7">
      <w:start w:val="1"/>
      <w:numFmt w:val="bullet"/>
      <w:lvlText w:val="o"/>
      <w:lvlJc w:val="left"/>
      <w:pPr>
        <w:tabs>
          <w:tab w:val="num" w:pos="0"/>
        </w:tabs>
        <w:ind w:left="5873" w:hanging="0"/>
      </w:pPr>
      <w:rPr>
        <w:rFonts w:ascii="Segoe UI Symbol" w:hAnsi="Segoe UI Symbol" w:cs="Segoe UI Symbol" w:hint="default"/>
        <w:dstrike w:val="false"/>
        <w:strike w:val="false"/>
        <w:vertAlign w:val="baseline"/>
        <w:position w:val="0"/>
        <w:sz w:val="24"/>
        <w:sz w:val="24"/>
        <w:i w:val="false"/>
        <w:u w:val="none" w:color="000000"/>
        <w:b w:val="false"/>
        <w:shd w:fill="auto" w:val="clear"/>
        <w:szCs w:val="24"/>
        <w:color w:val="000000"/>
      </w:rPr>
    </w:lvl>
    <w:lvl w:ilvl="8">
      <w:start w:val="1"/>
      <w:numFmt w:val="bullet"/>
      <w:lvlText w:val="▪"/>
      <w:lvlJc w:val="left"/>
      <w:pPr>
        <w:tabs>
          <w:tab w:val="num" w:pos="0"/>
        </w:tabs>
        <w:ind w:left="6593" w:hanging="0"/>
      </w:pPr>
      <w:rPr>
        <w:rFonts w:ascii="Segoe UI Symbol" w:hAnsi="Segoe UI Symbol" w:cs="Segoe UI Symbol" w:hint="default"/>
        <w:dstrike w:val="false"/>
        <w:strike w:val="false"/>
        <w:vertAlign w:val="baseline"/>
        <w:position w:val="0"/>
        <w:sz w:val="24"/>
        <w:sz w:val="24"/>
        <w:i w:val="false"/>
        <w:u w:val="none" w:color="000000"/>
        <w:b w:val="false"/>
        <w:shd w:fill="auto" w:val="clear"/>
        <w:szCs w:val="24"/>
        <w:color w:val="000000"/>
      </w:rPr>
    </w:lvl>
  </w:abstractNum>
  <w:abstractNum w:abstractNumId="2">
    <w:lvl w:ilvl="0">
      <w:start w:val="1"/>
      <w:numFmt w:val="bullet"/>
      <w:lvlText w:val="•"/>
      <w:lvlJc w:val="left"/>
      <w:pPr>
        <w:tabs>
          <w:tab w:val="num" w:pos="0"/>
        </w:tabs>
        <w:ind w:left="833" w:hanging="0"/>
      </w:pPr>
      <w:rPr>
        <w:rFonts w:ascii="Arial" w:hAnsi="Arial" w:cs="Arial" w:hint="default"/>
        <w:dstrike w:val="false"/>
        <w:strike w:val="false"/>
        <w:vertAlign w:val="baseline"/>
        <w:position w:val="0"/>
        <w:sz w:val="24"/>
        <w:sz w:val="24"/>
        <w:i w:val="false"/>
        <w:u w:val="none" w:color="000000"/>
        <w:b w:val="false"/>
        <w:shd w:fill="auto" w:val="clear"/>
        <w:szCs w:val="24"/>
        <w:color w:val="000000"/>
      </w:rPr>
    </w:lvl>
    <w:lvl w:ilvl="1">
      <w:start w:val="1"/>
      <w:numFmt w:val="bullet"/>
      <w:lvlText w:val="o"/>
      <w:lvlJc w:val="left"/>
      <w:pPr>
        <w:tabs>
          <w:tab w:val="num" w:pos="0"/>
        </w:tabs>
        <w:ind w:left="1553" w:hanging="0"/>
      </w:pPr>
      <w:rPr>
        <w:rFonts w:ascii="Segoe UI Symbol" w:hAnsi="Segoe UI Symbol" w:cs="Segoe UI Symbol" w:hint="default"/>
        <w:dstrike w:val="false"/>
        <w:strike w:val="false"/>
        <w:vertAlign w:val="baseline"/>
        <w:position w:val="0"/>
        <w:sz w:val="24"/>
        <w:sz w:val="24"/>
        <w:i w:val="false"/>
        <w:u w:val="none" w:color="000000"/>
        <w:b w:val="false"/>
        <w:shd w:fill="auto" w:val="clear"/>
        <w:szCs w:val="24"/>
        <w:color w:val="000000"/>
      </w:rPr>
    </w:lvl>
    <w:lvl w:ilvl="2">
      <w:start w:val="1"/>
      <w:numFmt w:val="bullet"/>
      <w:lvlText w:val="▪"/>
      <w:lvlJc w:val="left"/>
      <w:pPr>
        <w:tabs>
          <w:tab w:val="num" w:pos="0"/>
        </w:tabs>
        <w:ind w:left="2273" w:hanging="0"/>
      </w:pPr>
      <w:rPr>
        <w:rFonts w:ascii="Segoe UI Symbol" w:hAnsi="Segoe UI Symbol" w:cs="Segoe UI Symbol" w:hint="default"/>
        <w:dstrike w:val="false"/>
        <w:strike w:val="false"/>
        <w:vertAlign w:val="baseline"/>
        <w:position w:val="0"/>
        <w:sz w:val="24"/>
        <w:sz w:val="24"/>
        <w:i w:val="false"/>
        <w:u w:val="none" w:color="000000"/>
        <w:b w:val="false"/>
        <w:shd w:fill="auto" w:val="clear"/>
        <w:szCs w:val="24"/>
        <w:color w:val="000000"/>
      </w:rPr>
    </w:lvl>
    <w:lvl w:ilvl="3">
      <w:start w:val="1"/>
      <w:numFmt w:val="bullet"/>
      <w:lvlText w:val="•"/>
      <w:lvlJc w:val="left"/>
      <w:pPr>
        <w:tabs>
          <w:tab w:val="num" w:pos="0"/>
        </w:tabs>
        <w:ind w:left="2993" w:hanging="0"/>
      </w:pPr>
      <w:rPr>
        <w:rFonts w:ascii="Arial" w:hAnsi="Arial" w:cs="Arial" w:hint="default"/>
        <w:dstrike w:val="false"/>
        <w:strike w:val="false"/>
        <w:vertAlign w:val="baseline"/>
        <w:position w:val="0"/>
        <w:sz w:val="24"/>
        <w:sz w:val="24"/>
        <w:i w:val="false"/>
        <w:u w:val="none" w:color="000000"/>
        <w:b w:val="false"/>
        <w:shd w:fill="auto" w:val="clear"/>
        <w:szCs w:val="24"/>
        <w:color w:val="000000"/>
      </w:rPr>
    </w:lvl>
    <w:lvl w:ilvl="4">
      <w:start w:val="1"/>
      <w:numFmt w:val="bullet"/>
      <w:lvlText w:val="o"/>
      <w:lvlJc w:val="left"/>
      <w:pPr>
        <w:tabs>
          <w:tab w:val="num" w:pos="0"/>
        </w:tabs>
        <w:ind w:left="3713" w:hanging="0"/>
      </w:pPr>
      <w:rPr>
        <w:rFonts w:ascii="Segoe UI Symbol" w:hAnsi="Segoe UI Symbol" w:cs="Segoe UI Symbol" w:hint="default"/>
        <w:dstrike w:val="false"/>
        <w:strike w:val="false"/>
        <w:vertAlign w:val="baseline"/>
        <w:position w:val="0"/>
        <w:sz w:val="24"/>
        <w:sz w:val="24"/>
        <w:i w:val="false"/>
        <w:u w:val="none" w:color="000000"/>
        <w:b w:val="false"/>
        <w:shd w:fill="auto" w:val="clear"/>
        <w:szCs w:val="24"/>
        <w:color w:val="000000"/>
      </w:rPr>
    </w:lvl>
    <w:lvl w:ilvl="5">
      <w:start w:val="1"/>
      <w:numFmt w:val="bullet"/>
      <w:lvlText w:val="▪"/>
      <w:lvlJc w:val="left"/>
      <w:pPr>
        <w:tabs>
          <w:tab w:val="num" w:pos="0"/>
        </w:tabs>
        <w:ind w:left="4433" w:hanging="0"/>
      </w:pPr>
      <w:rPr>
        <w:rFonts w:ascii="Segoe UI Symbol" w:hAnsi="Segoe UI Symbol" w:cs="Segoe UI Symbol" w:hint="default"/>
        <w:dstrike w:val="false"/>
        <w:strike w:val="false"/>
        <w:vertAlign w:val="baseline"/>
        <w:position w:val="0"/>
        <w:sz w:val="24"/>
        <w:sz w:val="24"/>
        <w:i w:val="false"/>
        <w:u w:val="none" w:color="000000"/>
        <w:b w:val="false"/>
        <w:shd w:fill="auto" w:val="clear"/>
        <w:szCs w:val="24"/>
        <w:color w:val="000000"/>
      </w:rPr>
    </w:lvl>
    <w:lvl w:ilvl="6">
      <w:start w:val="1"/>
      <w:numFmt w:val="bullet"/>
      <w:lvlText w:val="•"/>
      <w:lvlJc w:val="left"/>
      <w:pPr>
        <w:tabs>
          <w:tab w:val="num" w:pos="0"/>
        </w:tabs>
        <w:ind w:left="5153" w:hanging="0"/>
      </w:pPr>
      <w:rPr>
        <w:rFonts w:ascii="Arial" w:hAnsi="Arial" w:cs="Arial" w:hint="default"/>
        <w:dstrike w:val="false"/>
        <w:strike w:val="false"/>
        <w:vertAlign w:val="baseline"/>
        <w:position w:val="0"/>
        <w:sz w:val="24"/>
        <w:sz w:val="24"/>
        <w:i w:val="false"/>
        <w:u w:val="none" w:color="000000"/>
        <w:b w:val="false"/>
        <w:shd w:fill="auto" w:val="clear"/>
        <w:szCs w:val="24"/>
        <w:color w:val="000000"/>
      </w:rPr>
    </w:lvl>
    <w:lvl w:ilvl="7">
      <w:start w:val="1"/>
      <w:numFmt w:val="bullet"/>
      <w:lvlText w:val="o"/>
      <w:lvlJc w:val="left"/>
      <w:pPr>
        <w:tabs>
          <w:tab w:val="num" w:pos="0"/>
        </w:tabs>
        <w:ind w:left="5873" w:hanging="0"/>
      </w:pPr>
      <w:rPr>
        <w:rFonts w:ascii="Segoe UI Symbol" w:hAnsi="Segoe UI Symbol" w:cs="Segoe UI Symbol" w:hint="default"/>
        <w:dstrike w:val="false"/>
        <w:strike w:val="false"/>
        <w:vertAlign w:val="baseline"/>
        <w:position w:val="0"/>
        <w:sz w:val="24"/>
        <w:sz w:val="24"/>
        <w:i w:val="false"/>
        <w:u w:val="none" w:color="000000"/>
        <w:b w:val="false"/>
        <w:shd w:fill="auto" w:val="clear"/>
        <w:szCs w:val="24"/>
        <w:color w:val="000000"/>
      </w:rPr>
    </w:lvl>
    <w:lvl w:ilvl="8">
      <w:start w:val="1"/>
      <w:numFmt w:val="bullet"/>
      <w:lvlText w:val="▪"/>
      <w:lvlJc w:val="left"/>
      <w:pPr>
        <w:tabs>
          <w:tab w:val="num" w:pos="0"/>
        </w:tabs>
        <w:ind w:left="6593" w:hanging="0"/>
      </w:pPr>
      <w:rPr>
        <w:rFonts w:ascii="Segoe UI Symbol" w:hAnsi="Segoe UI Symbol" w:cs="Segoe UI Symbol" w:hint="default"/>
        <w:dstrike w:val="false"/>
        <w:strike w:val="false"/>
        <w:vertAlign w:val="baseline"/>
        <w:position w:val="0"/>
        <w:sz w:val="24"/>
        <w:sz w:val="24"/>
        <w:i w:val="false"/>
        <w:u w:val="none" w:color="000000"/>
        <w:b w:val="false"/>
        <w:shd w:fill="auto" w:val="clear"/>
        <w:szCs w:val="24"/>
        <w:color w:val="000000"/>
      </w:rPr>
    </w:lvl>
  </w:abstractNum>
  <w:abstractNum w:abstractNumId="3">
    <w:lvl w:ilvl="0">
      <w:start w:val="1"/>
      <w:numFmt w:val="lowerLetter"/>
      <w:lvlText w:val="%1."/>
      <w:lvlJc w:val="left"/>
      <w:pPr>
        <w:tabs>
          <w:tab w:val="num" w:pos="0"/>
        </w:tabs>
        <w:ind w:left="135"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1">
      <w:start w:val="1"/>
      <w:numFmt w:val="lowerLetter"/>
      <w:lvlText w:val="%2"/>
      <w:lvlJc w:val="left"/>
      <w:pPr>
        <w:tabs>
          <w:tab w:val="num" w:pos="0"/>
        </w:tabs>
        <w:ind w:left="119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2">
      <w:start w:val="1"/>
      <w:numFmt w:val="lowerRoman"/>
      <w:lvlText w:val="%3"/>
      <w:lvlJc w:val="left"/>
      <w:pPr>
        <w:tabs>
          <w:tab w:val="num" w:pos="0"/>
        </w:tabs>
        <w:ind w:left="191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3">
      <w:start w:val="1"/>
      <w:numFmt w:val="decimal"/>
      <w:lvlText w:val="%4"/>
      <w:lvlJc w:val="left"/>
      <w:pPr>
        <w:tabs>
          <w:tab w:val="num" w:pos="0"/>
        </w:tabs>
        <w:ind w:left="263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4">
      <w:start w:val="1"/>
      <w:numFmt w:val="lowerLetter"/>
      <w:lvlText w:val="%5"/>
      <w:lvlJc w:val="left"/>
      <w:pPr>
        <w:tabs>
          <w:tab w:val="num" w:pos="0"/>
        </w:tabs>
        <w:ind w:left="335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5">
      <w:start w:val="1"/>
      <w:numFmt w:val="lowerRoman"/>
      <w:lvlText w:val="%6"/>
      <w:lvlJc w:val="left"/>
      <w:pPr>
        <w:tabs>
          <w:tab w:val="num" w:pos="0"/>
        </w:tabs>
        <w:ind w:left="407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6">
      <w:start w:val="1"/>
      <w:numFmt w:val="decimal"/>
      <w:lvlText w:val="%7"/>
      <w:lvlJc w:val="left"/>
      <w:pPr>
        <w:tabs>
          <w:tab w:val="num" w:pos="0"/>
        </w:tabs>
        <w:ind w:left="479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7">
      <w:start w:val="1"/>
      <w:numFmt w:val="lowerLetter"/>
      <w:lvlText w:val="%8"/>
      <w:lvlJc w:val="left"/>
      <w:pPr>
        <w:tabs>
          <w:tab w:val="num" w:pos="0"/>
        </w:tabs>
        <w:ind w:left="551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8">
      <w:start w:val="1"/>
      <w:numFmt w:val="lowerRoman"/>
      <w:lvlText w:val="%9"/>
      <w:lvlJc w:val="left"/>
      <w:pPr>
        <w:tabs>
          <w:tab w:val="num" w:pos="0"/>
        </w:tabs>
        <w:ind w:left="623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abstractNum>
  <w:abstractNum w:abstractNumId="4">
    <w:lvl w:ilvl="0">
      <w:start w:val="1"/>
      <w:numFmt w:val="bullet"/>
      <w:lvlText w:val="•"/>
      <w:lvlJc w:val="left"/>
      <w:pPr>
        <w:tabs>
          <w:tab w:val="num" w:pos="0"/>
        </w:tabs>
        <w:ind w:left="833" w:hanging="0"/>
      </w:pPr>
      <w:rPr>
        <w:rFonts w:ascii="Arial" w:hAnsi="Arial" w:cs="Arial" w:hint="default"/>
        <w:dstrike w:val="false"/>
        <w:strike w:val="false"/>
        <w:vertAlign w:val="baseline"/>
        <w:position w:val="0"/>
        <w:sz w:val="24"/>
        <w:sz w:val="24"/>
        <w:i w:val="false"/>
        <w:u w:val="none" w:color="000000"/>
        <w:b w:val="false"/>
        <w:shd w:fill="auto" w:val="clear"/>
        <w:szCs w:val="24"/>
        <w:color w:val="000000"/>
      </w:rPr>
    </w:lvl>
    <w:lvl w:ilvl="1">
      <w:start w:val="1"/>
      <w:numFmt w:val="bullet"/>
      <w:lvlText w:val="o"/>
      <w:lvlJc w:val="left"/>
      <w:pPr>
        <w:tabs>
          <w:tab w:val="num" w:pos="0"/>
        </w:tabs>
        <w:ind w:left="1553" w:hanging="0"/>
      </w:pPr>
      <w:rPr>
        <w:rFonts w:ascii="Segoe UI Symbol" w:hAnsi="Segoe UI Symbol" w:cs="Segoe UI Symbol" w:hint="default"/>
        <w:dstrike w:val="false"/>
        <w:strike w:val="false"/>
        <w:vertAlign w:val="baseline"/>
        <w:position w:val="0"/>
        <w:sz w:val="24"/>
        <w:sz w:val="24"/>
        <w:i w:val="false"/>
        <w:u w:val="none" w:color="000000"/>
        <w:b w:val="false"/>
        <w:shd w:fill="auto" w:val="clear"/>
        <w:szCs w:val="24"/>
        <w:color w:val="000000"/>
      </w:rPr>
    </w:lvl>
    <w:lvl w:ilvl="2">
      <w:start w:val="1"/>
      <w:numFmt w:val="bullet"/>
      <w:lvlText w:val="▪"/>
      <w:lvlJc w:val="left"/>
      <w:pPr>
        <w:tabs>
          <w:tab w:val="num" w:pos="0"/>
        </w:tabs>
        <w:ind w:left="2273" w:hanging="0"/>
      </w:pPr>
      <w:rPr>
        <w:rFonts w:ascii="Segoe UI Symbol" w:hAnsi="Segoe UI Symbol" w:cs="Segoe UI Symbol" w:hint="default"/>
        <w:dstrike w:val="false"/>
        <w:strike w:val="false"/>
        <w:vertAlign w:val="baseline"/>
        <w:position w:val="0"/>
        <w:sz w:val="24"/>
        <w:sz w:val="24"/>
        <w:i w:val="false"/>
        <w:u w:val="none" w:color="000000"/>
        <w:b w:val="false"/>
        <w:shd w:fill="auto" w:val="clear"/>
        <w:szCs w:val="24"/>
        <w:color w:val="000000"/>
      </w:rPr>
    </w:lvl>
    <w:lvl w:ilvl="3">
      <w:start w:val="1"/>
      <w:numFmt w:val="bullet"/>
      <w:lvlText w:val="•"/>
      <w:lvlJc w:val="left"/>
      <w:pPr>
        <w:tabs>
          <w:tab w:val="num" w:pos="0"/>
        </w:tabs>
        <w:ind w:left="2993" w:hanging="0"/>
      </w:pPr>
      <w:rPr>
        <w:rFonts w:ascii="Arial" w:hAnsi="Arial" w:cs="Arial" w:hint="default"/>
        <w:dstrike w:val="false"/>
        <w:strike w:val="false"/>
        <w:vertAlign w:val="baseline"/>
        <w:position w:val="0"/>
        <w:sz w:val="24"/>
        <w:sz w:val="24"/>
        <w:i w:val="false"/>
        <w:u w:val="none" w:color="000000"/>
        <w:b w:val="false"/>
        <w:shd w:fill="auto" w:val="clear"/>
        <w:szCs w:val="24"/>
        <w:color w:val="000000"/>
      </w:rPr>
    </w:lvl>
    <w:lvl w:ilvl="4">
      <w:start w:val="1"/>
      <w:numFmt w:val="bullet"/>
      <w:lvlText w:val="o"/>
      <w:lvlJc w:val="left"/>
      <w:pPr>
        <w:tabs>
          <w:tab w:val="num" w:pos="0"/>
        </w:tabs>
        <w:ind w:left="3713" w:hanging="0"/>
      </w:pPr>
      <w:rPr>
        <w:rFonts w:ascii="Segoe UI Symbol" w:hAnsi="Segoe UI Symbol" w:cs="Segoe UI Symbol" w:hint="default"/>
        <w:dstrike w:val="false"/>
        <w:strike w:val="false"/>
        <w:vertAlign w:val="baseline"/>
        <w:position w:val="0"/>
        <w:sz w:val="24"/>
        <w:sz w:val="24"/>
        <w:i w:val="false"/>
        <w:u w:val="none" w:color="000000"/>
        <w:b w:val="false"/>
        <w:shd w:fill="auto" w:val="clear"/>
        <w:szCs w:val="24"/>
        <w:color w:val="000000"/>
      </w:rPr>
    </w:lvl>
    <w:lvl w:ilvl="5">
      <w:start w:val="1"/>
      <w:numFmt w:val="bullet"/>
      <w:lvlText w:val="▪"/>
      <w:lvlJc w:val="left"/>
      <w:pPr>
        <w:tabs>
          <w:tab w:val="num" w:pos="0"/>
        </w:tabs>
        <w:ind w:left="4433" w:hanging="0"/>
      </w:pPr>
      <w:rPr>
        <w:rFonts w:ascii="Segoe UI Symbol" w:hAnsi="Segoe UI Symbol" w:cs="Segoe UI Symbol" w:hint="default"/>
        <w:dstrike w:val="false"/>
        <w:strike w:val="false"/>
        <w:vertAlign w:val="baseline"/>
        <w:position w:val="0"/>
        <w:sz w:val="24"/>
        <w:sz w:val="24"/>
        <w:i w:val="false"/>
        <w:u w:val="none" w:color="000000"/>
        <w:b w:val="false"/>
        <w:shd w:fill="auto" w:val="clear"/>
        <w:szCs w:val="24"/>
        <w:color w:val="000000"/>
      </w:rPr>
    </w:lvl>
    <w:lvl w:ilvl="6">
      <w:start w:val="1"/>
      <w:numFmt w:val="bullet"/>
      <w:lvlText w:val="•"/>
      <w:lvlJc w:val="left"/>
      <w:pPr>
        <w:tabs>
          <w:tab w:val="num" w:pos="0"/>
        </w:tabs>
        <w:ind w:left="5153" w:hanging="0"/>
      </w:pPr>
      <w:rPr>
        <w:rFonts w:ascii="Arial" w:hAnsi="Arial" w:cs="Arial" w:hint="default"/>
        <w:dstrike w:val="false"/>
        <w:strike w:val="false"/>
        <w:vertAlign w:val="baseline"/>
        <w:position w:val="0"/>
        <w:sz w:val="24"/>
        <w:sz w:val="24"/>
        <w:i w:val="false"/>
        <w:u w:val="none" w:color="000000"/>
        <w:b w:val="false"/>
        <w:shd w:fill="auto" w:val="clear"/>
        <w:szCs w:val="24"/>
        <w:color w:val="000000"/>
      </w:rPr>
    </w:lvl>
    <w:lvl w:ilvl="7">
      <w:start w:val="1"/>
      <w:numFmt w:val="bullet"/>
      <w:lvlText w:val="o"/>
      <w:lvlJc w:val="left"/>
      <w:pPr>
        <w:tabs>
          <w:tab w:val="num" w:pos="0"/>
        </w:tabs>
        <w:ind w:left="5873" w:hanging="0"/>
      </w:pPr>
      <w:rPr>
        <w:rFonts w:ascii="Segoe UI Symbol" w:hAnsi="Segoe UI Symbol" w:cs="Segoe UI Symbol" w:hint="default"/>
        <w:dstrike w:val="false"/>
        <w:strike w:val="false"/>
        <w:vertAlign w:val="baseline"/>
        <w:position w:val="0"/>
        <w:sz w:val="24"/>
        <w:sz w:val="24"/>
        <w:i w:val="false"/>
        <w:u w:val="none" w:color="000000"/>
        <w:b w:val="false"/>
        <w:shd w:fill="auto" w:val="clear"/>
        <w:szCs w:val="24"/>
        <w:color w:val="000000"/>
      </w:rPr>
    </w:lvl>
    <w:lvl w:ilvl="8">
      <w:start w:val="1"/>
      <w:numFmt w:val="bullet"/>
      <w:lvlText w:val="▪"/>
      <w:lvlJc w:val="left"/>
      <w:pPr>
        <w:tabs>
          <w:tab w:val="num" w:pos="0"/>
        </w:tabs>
        <w:ind w:left="6593" w:hanging="0"/>
      </w:pPr>
      <w:rPr>
        <w:rFonts w:ascii="Segoe UI Symbol" w:hAnsi="Segoe UI Symbol" w:cs="Segoe UI Symbol" w:hint="default"/>
        <w:dstrike w:val="false"/>
        <w:strike w:val="false"/>
        <w:vertAlign w:val="baseline"/>
        <w:position w:val="0"/>
        <w:sz w:val="24"/>
        <w:sz w:val="24"/>
        <w:i w:val="false"/>
        <w:u w:val="none" w:color="000000"/>
        <w:b w:val="false"/>
        <w:shd w:fill="auto" w:val="clear"/>
        <w:szCs w:val="24"/>
        <w:color w:val="000000"/>
      </w:rPr>
    </w:lvl>
  </w:abstractNum>
  <w:abstractNum w:abstractNumId="5">
    <w:lvl w:ilvl="0">
      <w:start w:val="1"/>
      <w:numFmt w:val="lowerLetter"/>
      <w:lvlText w:val="%1."/>
      <w:lvlJc w:val="left"/>
      <w:pPr>
        <w:tabs>
          <w:tab w:val="num" w:pos="0"/>
        </w:tabs>
        <w:ind w:left="135"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1">
      <w:start w:val="1"/>
      <w:numFmt w:val="lowerLetter"/>
      <w:lvlText w:val="%2"/>
      <w:lvlJc w:val="left"/>
      <w:pPr>
        <w:tabs>
          <w:tab w:val="num" w:pos="0"/>
        </w:tabs>
        <w:ind w:left="119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2">
      <w:start w:val="1"/>
      <w:numFmt w:val="lowerRoman"/>
      <w:lvlText w:val="%3"/>
      <w:lvlJc w:val="left"/>
      <w:pPr>
        <w:tabs>
          <w:tab w:val="num" w:pos="0"/>
        </w:tabs>
        <w:ind w:left="191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3">
      <w:start w:val="1"/>
      <w:numFmt w:val="decimal"/>
      <w:lvlText w:val="%4"/>
      <w:lvlJc w:val="left"/>
      <w:pPr>
        <w:tabs>
          <w:tab w:val="num" w:pos="0"/>
        </w:tabs>
        <w:ind w:left="263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4">
      <w:start w:val="1"/>
      <w:numFmt w:val="lowerLetter"/>
      <w:lvlText w:val="%5"/>
      <w:lvlJc w:val="left"/>
      <w:pPr>
        <w:tabs>
          <w:tab w:val="num" w:pos="0"/>
        </w:tabs>
        <w:ind w:left="335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5">
      <w:start w:val="1"/>
      <w:numFmt w:val="lowerRoman"/>
      <w:lvlText w:val="%6"/>
      <w:lvlJc w:val="left"/>
      <w:pPr>
        <w:tabs>
          <w:tab w:val="num" w:pos="0"/>
        </w:tabs>
        <w:ind w:left="407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6">
      <w:start w:val="1"/>
      <w:numFmt w:val="decimal"/>
      <w:lvlText w:val="%7"/>
      <w:lvlJc w:val="left"/>
      <w:pPr>
        <w:tabs>
          <w:tab w:val="num" w:pos="0"/>
        </w:tabs>
        <w:ind w:left="479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7">
      <w:start w:val="1"/>
      <w:numFmt w:val="lowerLetter"/>
      <w:lvlText w:val="%8"/>
      <w:lvlJc w:val="left"/>
      <w:pPr>
        <w:tabs>
          <w:tab w:val="num" w:pos="0"/>
        </w:tabs>
        <w:ind w:left="551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8">
      <w:start w:val="1"/>
      <w:numFmt w:val="lowerRoman"/>
      <w:lvlText w:val="%9"/>
      <w:lvlJc w:val="left"/>
      <w:pPr>
        <w:tabs>
          <w:tab w:val="num" w:pos="0"/>
        </w:tabs>
        <w:ind w:left="623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abstractNum>
  <w:abstractNum w:abstractNumId="6">
    <w:lvl w:ilvl="0">
      <w:start w:val="1"/>
      <w:numFmt w:val="lowerLetter"/>
      <w:lvlText w:val="%1."/>
      <w:lvlJc w:val="left"/>
      <w:pPr>
        <w:tabs>
          <w:tab w:val="num" w:pos="0"/>
        </w:tabs>
        <w:ind w:left="135"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1">
      <w:start w:val="1"/>
      <w:numFmt w:val="lowerLetter"/>
      <w:lvlText w:val="%2"/>
      <w:lvlJc w:val="left"/>
      <w:pPr>
        <w:tabs>
          <w:tab w:val="num" w:pos="0"/>
        </w:tabs>
        <w:ind w:left="119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2">
      <w:start w:val="1"/>
      <w:numFmt w:val="lowerRoman"/>
      <w:lvlText w:val="%3"/>
      <w:lvlJc w:val="left"/>
      <w:pPr>
        <w:tabs>
          <w:tab w:val="num" w:pos="0"/>
        </w:tabs>
        <w:ind w:left="191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3">
      <w:start w:val="1"/>
      <w:numFmt w:val="decimal"/>
      <w:lvlText w:val="%4"/>
      <w:lvlJc w:val="left"/>
      <w:pPr>
        <w:tabs>
          <w:tab w:val="num" w:pos="0"/>
        </w:tabs>
        <w:ind w:left="263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4">
      <w:start w:val="1"/>
      <w:numFmt w:val="lowerLetter"/>
      <w:lvlText w:val="%5"/>
      <w:lvlJc w:val="left"/>
      <w:pPr>
        <w:tabs>
          <w:tab w:val="num" w:pos="0"/>
        </w:tabs>
        <w:ind w:left="335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5">
      <w:start w:val="1"/>
      <w:numFmt w:val="lowerRoman"/>
      <w:lvlText w:val="%6"/>
      <w:lvlJc w:val="left"/>
      <w:pPr>
        <w:tabs>
          <w:tab w:val="num" w:pos="0"/>
        </w:tabs>
        <w:ind w:left="407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6">
      <w:start w:val="1"/>
      <w:numFmt w:val="decimal"/>
      <w:lvlText w:val="%7"/>
      <w:lvlJc w:val="left"/>
      <w:pPr>
        <w:tabs>
          <w:tab w:val="num" w:pos="0"/>
        </w:tabs>
        <w:ind w:left="479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7">
      <w:start w:val="1"/>
      <w:numFmt w:val="lowerLetter"/>
      <w:lvlText w:val="%8"/>
      <w:lvlJc w:val="left"/>
      <w:pPr>
        <w:tabs>
          <w:tab w:val="num" w:pos="0"/>
        </w:tabs>
        <w:ind w:left="551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8">
      <w:start w:val="1"/>
      <w:numFmt w:val="lowerRoman"/>
      <w:lvlText w:val="%9"/>
      <w:lvlJc w:val="left"/>
      <w:pPr>
        <w:tabs>
          <w:tab w:val="num" w:pos="0"/>
        </w:tabs>
        <w:ind w:left="623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abstractNum>
  <w:abstractNum w:abstractNumId="7">
    <w:lvl w:ilvl="0">
      <w:start w:val="1"/>
      <w:numFmt w:val="lowerLetter"/>
      <w:lvlText w:val="%1."/>
      <w:lvlJc w:val="left"/>
      <w:pPr>
        <w:tabs>
          <w:tab w:val="num" w:pos="0"/>
        </w:tabs>
        <w:ind w:left="135"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1">
      <w:start w:val="1"/>
      <w:numFmt w:val="lowerLetter"/>
      <w:lvlText w:val="%2"/>
      <w:lvlJc w:val="left"/>
      <w:pPr>
        <w:tabs>
          <w:tab w:val="num" w:pos="0"/>
        </w:tabs>
        <w:ind w:left="119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2">
      <w:start w:val="1"/>
      <w:numFmt w:val="lowerRoman"/>
      <w:lvlText w:val="%3"/>
      <w:lvlJc w:val="left"/>
      <w:pPr>
        <w:tabs>
          <w:tab w:val="num" w:pos="0"/>
        </w:tabs>
        <w:ind w:left="191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3">
      <w:start w:val="1"/>
      <w:numFmt w:val="decimal"/>
      <w:lvlText w:val="%4"/>
      <w:lvlJc w:val="left"/>
      <w:pPr>
        <w:tabs>
          <w:tab w:val="num" w:pos="0"/>
        </w:tabs>
        <w:ind w:left="263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4">
      <w:start w:val="1"/>
      <w:numFmt w:val="lowerLetter"/>
      <w:lvlText w:val="%5"/>
      <w:lvlJc w:val="left"/>
      <w:pPr>
        <w:tabs>
          <w:tab w:val="num" w:pos="0"/>
        </w:tabs>
        <w:ind w:left="335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5">
      <w:start w:val="1"/>
      <w:numFmt w:val="lowerRoman"/>
      <w:lvlText w:val="%6"/>
      <w:lvlJc w:val="left"/>
      <w:pPr>
        <w:tabs>
          <w:tab w:val="num" w:pos="0"/>
        </w:tabs>
        <w:ind w:left="407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6">
      <w:start w:val="1"/>
      <w:numFmt w:val="decimal"/>
      <w:lvlText w:val="%7"/>
      <w:lvlJc w:val="left"/>
      <w:pPr>
        <w:tabs>
          <w:tab w:val="num" w:pos="0"/>
        </w:tabs>
        <w:ind w:left="479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7">
      <w:start w:val="1"/>
      <w:numFmt w:val="lowerLetter"/>
      <w:lvlText w:val="%8"/>
      <w:lvlJc w:val="left"/>
      <w:pPr>
        <w:tabs>
          <w:tab w:val="num" w:pos="0"/>
        </w:tabs>
        <w:ind w:left="551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lvl w:ilvl="8">
      <w:start w:val="1"/>
      <w:numFmt w:val="lowerRoman"/>
      <w:lvlText w:val="%9"/>
      <w:lvlJc w:val="left"/>
      <w:pPr>
        <w:tabs>
          <w:tab w:val="num" w:pos="0"/>
        </w:tabs>
        <w:ind w:left="6233" w:hanging="0"/>
      </w:pPr>
      <w:rPr>
        <w:dstrike w:val="false"/>
        <w:strike w:val="false"/>
        <w:vertAlign w:val="baseline"/>
        <w:position w:val="0"/>
        <w:sz w:val="24"/>
        <w:sz w:val="24"/>
        <w:i w:val="false"/>
        <w:u w:val="none" w:color="000000"/>
        <w:b w:val="false"/>
        <w:shd w:fill="auto" w:val="clear"/>
        <w:szCs w:val="24"/>
        <w:rFonts w:ascii="Times New Roman" w:hAnsi="Times New Roman" w:eastAsia="Times New Roman" w:cs="Times New Roman"/>
        <w:color w:val="000000"/>
      </w:rPr>
    </w:lvl>
  </w:abstractNum>
  <w:abstractNum w:abstractNumId="8">
    <w:lvl w:ilvl="0">
      <w:start w:val="1"/>
      <w:numFmt w:val="bullet"/>
      <w:lvlText w:val="*"/>
      <w:lvlJc w:val="left"/>
      <w:pPr>
        <w:tabs>
          <w:tab w:val="num" w:pos="0"/>
        </w:tabs>
        <w:ind w:left="245" w:hanging="0"/>
      </w:pPr>
      <w:rPr>
        <w:rFonts w:ascii="Cambria" w:hAnsi="Cambria" w:cs="Cambria" w:hint="default"/>
        <w:dstrike w:val="false"/>
        <w:strike w:val="false"/>
        <w:vertAlign w:val="baseline"/>
        <w:position w:val="0"/>
        <w:sz w:val="20"/>
        <w:sz w:val="20"/>
        <w:i w:val="false"/>
        <w:u w:val="none" w:color="000000"/>
        <w:b w:val="false"/>
        <w:shd w:fill="auto" w:val="clear"/>
        <w:szCs w:val="20"/>
        <w:color w:val="000000"/>
      </w:rPr>
    </w:lvl>
    <w:lvl w:ilvl="1">
      <w:start w:val="1"/>
      <w:numFmt w:val="bullet"/>
      <w:lvlText w:val="o"/>
      <w:lvlJc w:val="left"/>
      <w:pPr>
        <w:tabs>
          <w:tab w:val="num" w:pos="0"/>
        </w:tabs>
        <w:ind w:left="1193" w:hanging="0"/>
      </w:pPr>
      <w:rPr>
        <w:rFonts w:ascii="Cambria" w:hAnsi="Cambria" w:cs="Cambria" w:hint="default"/>
        <w:dstrike w:val="false"/>
        <w:strike w:val="false"/>
        <w:vertAlign w:val="baseline"/>
        <w:position w:val="0"/>
        <w:sz w:val="20"/>
        <w:sz w:val="20"/>
        <w:i w:val="false"/>
        <w:u w:val="none" w:color="000000"/>
        <w:b w:val="false"/>
        <w:shd w:fill="auto" w:val="clear"/>
        <w:szCs w:val="20"/>
        <w:color w:val="000000"/>
      </w:rPr>
    </w:lvl>
    <w:lvl w:ilvl="2">
      <w:start w:val="1"/>
      <w:numFmt w:val="bullet"/>
      <w:lvlText w:val="▪"/>
      <w:lvlJc w:val="left"/>
      <w:pPr>
        <w:tabs>
          <w:tab w:val="num" w:pos="0"/>
        </w:tabs>
        <w:ind w:left="1913" w:hanging="0"/>
      </w:pPr>
      <w:rPr>
        <w:rFonts w:ascii="Cambria" w:hAnsi="Cambria" w:cs="Cambria" w:hint="default"/>
        <w:dstrike w:val="false"/>
        <w:strike w:val="false"/>
        <w:vertAlign w:val="baseline"/>
        <w:position w:val="0"/>
        <w:sz w:val="20"/>
        <w:sz w:val="20"/>
        <w:i w:val="false"/>
        <w:u w:val="none" w:color="000000"/>
        <w:b w:val="false"/>
        <w:shd w:fill="auto" w:val="clear"/>
        <w:szCs w:val="20"/>
        <w:color w:val="000000"/>
      </w:rPr>
    </w:lvl>
    <w:lvl w:ilvl="3">
      <w:start w:val="1"/>
      <w:numFmt w:val="bullet"/>
      <w:lvlText w:val="•"/>
      <w:lvlJc w:val="left"/>
      <w:pPr>
        <w:tabs>
          <w:tab w:val="num" w:pos="0"/>
        </w:tabs>
        <w:ind w:left="2633" w:hanging="0"/>
      </w:pPr>
      <w:rPr>
        <w:rFonts w:ascii="Cambria" w:hAnsi="Cambria" w:cs="Cambria" w:hint="default"/>
        <w:dstrike w:val="false"/>
        <w:strike w:val="false"/>
        <w:vertAlign w:val="baseline"/>
        <w:position w:val="0"/>
        <w:sz w:val="20"/>
        <w:sz w:val="20"/>
        <w:i w:val="false"/>
        <w:u w:val="none" w:color="000000"/>
        <w:b w:val="false"/>
        <w:shd w:fill="auto" w:val="clear"/>
        <w:szCs w:val="20"/>
        <w:color w:val="000000"/>
      </w:rPr>
    </w:lvl>
    <w:lvl w:ilvl="4">
      <w:start w:val="1"/>
      <w:numFmt w:val="bullet"/>
      <w:lvlText w:val="o"/>
      <w:lvlJc w:val="left"/>
      <w:pPr>
        <w:tabs>
          <w:tab w:val="num" w:pos="0"/>
        </w:tabs>
        <w:ind w:left="3353" w:hanging="0"/>
      </w:pPr>
      <w:rPr>
        <w:rFonts w:ascii="Cambria" w:hAnsi="Cambria" w:cs="Cambria" w:hint="default"/>
        <w:dstrike w:val="false"/>
        <w:strike w:val="false"/>
        <w:vertAlign w:val="baseline"/>
        <w:position w:val="0"/>
        <w:sz w:val="20"/>
        <w:sz w:val="20"/>
        <w:i w:val="false"/>
        <w:u w:val="none" w:color="000000"/>
        <w:b w:val="false"/>
        <w:shd w:fill="auto" w:val="clear"/>
        <w:szCs w:val="20"/>
        <w:color w:val="000000"/>
      </w:rPr>
    </w:lvl>
    <w:lvl w:ilvl="5">
      <w:start w:val="1"/>
      <w:numFmt w:val="bullet"/>
      <w:lvlText w:val="▪"/>
      <w:lvlJc w:val="left"/>
      <w:pPr>
        <w:tabs>
          <w:tab w:val="num" w:pos="0"/>
        </w:tabs>
        <w:ind w:left="4073" w:hanging="0"/>
      </w:pPr>
      <w:rPr>
        <w:rFonts w:ascii="Cambria" w:hAnsi="Cambria" w:cs="Cambria" w:hint="default"/>
        <w:dstrike w:val="false"/>
        <w:strike w:val="false"/>
        <w:vertAlign w:val="baseline"/>
        <w:position w:val="0"/>
        <w:sz w:val="20"/>
        <w:sz w:val="20"/>
        <w:i w:val="false"/>
        <w:u w:val="none" w:color="000000"/>
        <w:b w:val="false"/>
        <w:shd w:fill="auto" w:val="clear"/>
        <w:szCs w:val="20"/>
        <w:color w:val="000000"/>
      </w:rPr>
    </w:lvl>
    <w:lvl w:ilvl="6">
      <w:start w:val="1"/>
      <w:numFmt w:val="bullet"/>
      <w:lvlText w:val="•"/>
      <w:lvlJc w:val="left"/>
      <w:pPr>
        <w:tabs>
          <w:tab w:val="num" w:pos="0"/>
        </w:tabs>
        <w:ind w:left="4793" w:hanging="0"/>
      </w:pPr>
      <w:rPr>
        <w:rFonts w:ascii="Cambria" w:hAnsi="Cambria" w:cs="Cambria" w:hint="default"/>
        <w:dstrike w:val="false"/>
        <w:strike w:val="false"/>
        <w:vertAlign w:val="baseline"/>
        <w:position w:val="0"/>
        <w:sz w:val="20"/>
        <w:sz w:val="20"/>
        <w:i w:val="false"/>
        <w:u w:val="none" w:color="000000"/>
        <w:b w:val="false"/>
        <w:shd w:fill="auto" w:val="clear"/>
        <w:szCs w:val="20"/>
        <w:color w:val="000000"/>
      </w:rPr>
    </w:lvl>
    <w:lvl w:ilvl="7">
      <w:start w:val="1"/>
      <w:numFmt w:val="bullet"/>
      <w:lvlText w:val="o"/>
      <w:lvlJc w:val="left"/>
      <w:pPr>
        <w:tabs>
          <w:tab w:val="num" w:pos="0"/>
        </w:tabs>
        <w:ind w:left="5513" w:hanging="0"/>
      </w:pPr>
      <w:rPr>
        <w:rFonts w:ascii="Cambria" w:hAnsi="Cambria" w:cs="Cambria" w:hint="default"/>
        <w:dstrike w:val="false"/>
        <w:strike w:val="false"/>
        <w:vertAlign w:val="baseline"/>
        <w:position w:val="0"/>
        <w:sz w:val="20"/>
        <w:sz w:val="20"/>
        <w:i w:val="false"/>
        <w:u w:val="none" w:color="000000"/>
        <w:b w:val="false"/>
        <w:shd w:fill="auto" w:val="clear"/>
        <w:szCs w:val="20"/>
        <w:color w:val="000000"/>
      </w:rPr>
    </w:lvl>
    <w:lvl w:ilvl="8">
      <w:start w:val="1"/>
      <w:numFmt w:val="bullet"/>
      <w:lvlText w:val="▪"/>
      <w:lvlJc w:val="left"/>
      <w:pPr>
        <w:tabs>
          <w:tab w:val="num" w:pos="0"/>
        </w:tabs>
        <w:ind w:left="6233" w:hanging="0"/>
      </w:pPr>
      <w:rPr>
        <w:rFonts w:ascii="Cambria" w:hAnsi="Cambria" w:cs="Cambria" w:hint="default"/>
        <w:dstrike w:val="false"/>
        <w:strike w:val="false"/>
        <w:vertAlign w:val="baseline"/>
        <w:position w:val="0"/>
        <w:sz w:val="20"/>
        <w:sz w:val="20"/>
        <w:i w:val="false"/>
        <w:u w:val="none" w:color="000000"/>
        <w:b w:val="false"/>
        <w:shd w:fill="auto" w:val="clear"/>
        <w:szCs w:val="20"/>
        <w:color w:val="000000"/>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5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it-IT" w:eastAsia="it-IT"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348" w:before="0" w:after="5"/>
      <w:ind w:hanging="10" w:left="123" w:right="2"/>
      <w:jc w:val="both"/>
    </w:pPr>
    <w:rPr>
      <w:rFonts w:ascii="Times New Roman" w:hAnsi="Times New Roman" w:eastAsia="Times New Roman" w:cs="Times New Roman"/>
      <w:color w:val="000000"/>
      <w:kern w:val="0"/>
      <w:sz w:val="24"/>
      <w:szCs w:val="22"/>
      <w:lang w:val="it-IT" w:eastAsia="it-IT" w:bidi="ar-SA"/>
    </w:rPr>
  </w:style>
  <w:style w:type="paragraph" w:styleId="Heading1">
    <w:name w:val="Heading 1"/>
    <w:next w:val="Normal"/>
    <w:link w:val="Titolo1Carattere"/>
    <w:uiPriority w:val="9"/>
    <w:qFormat/>
    <w:pPr>
      <w:keepNext w:val="true"/>
      <w:keepLines/>
      <w:widowControl/>
      <w:suppressAutoHyphens w:val="true"/>
      <w:bidi w:val="0"/>
      <w:spacing w:lineRule="auto" w:line="259" w:before="0" w:after="0"/>
      <w:ind w:hanging="10" w:left="123" w:right="2"/>
      <w:jc w:val="center"/>
      <w:outlineLvl w:val="0"/>
    </w:pPr>
    <w:rPr>
      <w:rFonts w:ascii="Times New Roman" w:hAnsi="Times New Roman" w:eastAsia="Times New Roman" w:cs="Times New Roman"/>
      <w:color w:val="000000"/>
      <w:kern w:val="0"/>
      <w:sz w:val="24"/>
      <w:szCs w:val="22"/>
      <w:lang w:val="it-IT" w:eastAsia="it-IT" w:bidi="ar-SA"/>
    </w:rPr>
  </w:style>
  <w:style w:type="paragraph" w:styleId="Heading2">
    <w:name w:val="Heading 2"/>
    <w:next w:val="Normal"/>
    <w:link w:val="Titolo2Carattere"/>
    <w:uiPriority w:val="9"/>
    <w:unhideWhenUsed/>
    <w:qFormat/>
    <w:pPr>
      <w:keepNext w:val="true"/>
      <w:keepLines/>
      <w:widowControl/>
      <w:suppressAutoHyphens w:val="true"/>
      <w:bidi w:val="0"/>
      <w:spacing w:lineRule="auto" w:line="259" w:before="0" w:after="107"/>
      <w:ind w:hanging="10" w:left="112"/>
      <w:jc w:val="center"/>
      <w:outlineLvl w:val="1"/>
    </w:pPr>
    <w:rPr>
      <w:rFonts w:ascii="Times New Roman" w:hAnsi="Times New Roman" w:eastAsia="Times New Roman" w:cs="Times New Roman"/>
      <w:b/>
      <w:color w:val="000000"/>
      <w:kern w:val="0"/>
      <w:sz w:val="24"/>
      <w:szCs w:val="22"/>
      <w:lang w:val="it-IT" w:eastAsia="it-IT" w:bidi="ar-SA"/>
    </w:rPr>
  </w:style>
  <w:style w:type="character" w:styleId="DefaultParagraphFont" w:default="1">
    <w:name w:val="Default Paragraph Font"/>
    <w:uiPriority w:val="1"/>
    <w:semiHidden/>
    <w:unhideWhenUsed/>
    <w:qFormat/>
    <w:rPr/>
  </w:style>
  <w:style w:type="character" w:styleId="Titolo1Carattere" w:customStyle="1">
    <w:name w:val="Titolo 1 Carattere"/>
    <w:qFormat/>
    <w:rPr>
      <w:rFonts w:ascii="Times New Roman" w:hAnsi="Times New Roman" w:eastAsia="Times New Roman" w:cs="Times New Roman"/>
      <w:color w:val="000000"/>
      <w:sz w:val="24"/>
    </w:rPr>
  </w:style>
  <w:style w:type="character" w:styleId="Titolo2Carattere" w:customStyle="1">
    <w:name w:val="Titolo 2 Carattere"/>
    <w:qFormat/>
    <w:rPr>
      <w:rFonts w:ascii="Times New Roman" w:hAnsi="Times New Roman" w:eastAsia="Times New Roman" w:cs="Times New Roman"/>
      <w:b/>
      <w:color w:val="000000"/>
      <w:sz w:val="24"/>
    </w:rPr>
  </w:style>
  <w:style w:type="character" w:styleId="TestofumettoCarattere" w:customStyle="1">
    <w:name w:val="Testo fumetto Carattere"/>
    <w:basedOn w:val="DefaultParagraphFont"/>
    <w:link w:val="BalloonText"/>
    <w:uiPriority w:val="99"/>
    <w:semiHidden/>
    <w:qFormat/>
    <w:rsid w:val="00dc3bde"/>
    <w:rPr>
      <w:rFonts w:ascii="Segoe UI" w:hAnsi="Segoe UI" w:eastAsia="Times New Roman" w:cs="Segoe UI"/>
      <w:color w:val="000000"/>
      <w:sz w:val="18"/>
      <w:szCs w:val="18"/>
    </w:rPr>
  </w:style>
  <w:style w:type="character" w:styleId="IntestazioneCarattere" w:customStyle="1">
    <w:name w:val="Intestazione Carattere"/>
    <w:basedOn w:val="DefaultParagraphFont"/>
    <w:uiPriority w:val="99"/>
    <w:qFormat/>
    <w:rsid w:val="00e6307a"/>
    <w:rPr>
      <w:rFonts w:ascii="Times New Roman" w:hAnsi="Times New Roman" w:eastAsia="Times New Roman" w:cs="Times New Roman"/>
      <w:color w:val="000000"/>
      <w:sz w:val="24"/>
    </w:rPr>
  </w:style>
  <w:style w:type="character" w:styleId="Strong2">
    <w:name w:val="Strong2"/>
    <w:qFormat/>
    <w:rPr>
      <w:b/>
    </w:rPr>
  </w:style>
  <w:style w:type="character" w:styleId="Corpodeltesto2Carattere">
    <w:name w:val="Corpo del testo 2 Carattere"/>
    <w:qFormat/>
    <w:rPr>
      <w:rFonts w:ascii="Times New Roman" w:hAnsi="Times New Roman" w:cs="Times New Roman"/>
      <w:sz w:val="24"/>
    </w:rPr>
  </w:style>
  <w:style w:type="paragraph" w:styleId="Titolo">
    <w:name w:val="Titolo"/>
    <w:basedOn w:val="Normal"/>
    <w:next w:val="BodyText"/>
    <w:qFormat/>
    <w:pPr>
      <w:keepNext w:val="true"/>
      <w:spacing w:before="240" w:after="120"/>
    </w:pPr>
    <w:rPr>
      <w:rFonts w:ascii="Trebuchet MS" w:hAnsi="Trebuchet MS" w:eastAsia="Microsoft YaHei" w:cs="Arial Unicode MS"/>
      <w:sz w:val="20"/>
      <w:szCs w:val="28"/>
    </w:rPr>
  </w:style>
  <w:style w:type="paragraph" w:styleId="BodyText">
    <w:name w:val="Body Text"/>
    <w:basedOn w:val="Normal"/>
    <w:pPr>
      <w:spacing w:lineRule="auto" w:line="276" w:before="0" w:after="140"/>
    </w:pPr>
    <w:rPr/>
  </w:style>
  <w:style w:type="paragraph" w:styleId="List">
    <w:name w:val="List"/>
    <w:basedOn w:val="BodyText"/>
    <w:pPr/>
    <w:rPr>
      <w:rFonts w:ascii="Trebuchet MS" w:hAnsi="Trebuchet MS" w:cs="Arial Unicode MS"/>
    </w:rPr>
  </w:style>
  <w:style w:type="paragraph" w:styleId="Caption">
    <w:name w:val="Caption"/>
    <w:basedOn w:val="Normal"/>
    <w:qFormat/>
    <w:pPr>
      <w:suppressLineNumbers/>
      <w:spacing w:before="120" w:after="120"/>
    </w:pPr>
    <w:rPr>
      <w:rFonts w:ascii="Trebuchet MS" w:hAnsi="Trebuchet MS" w:cs="Arial Unicode MS"/>
      <w:i/>
      <w:iCs/>
      <w:sz w:val="24"/>
      <w:szCs w:val="24"/>
    </w:rPr>
  </w:style>
  <w:style w:type="paragraph" w:styleId="Indice">
    <w:name w:val="Indice"/>
    <w:basedOn w:val="Normal"/>
    <w:qFormat/>
    <w:pPr>
      <w:suppressLineNumbers/>
    </w:pPr>
    <w:rPr>
      <w:rFonts w:ascii="Trebuchet MS" w:hAnsi="Trebuchet MS" w:cs="Arial Unicode MS"/>
    </w:rPr>
  </w:style>
  <w:style w:type="paragraph" w:styleId="ListParagraph">
    <w:name w:val="List Paragraph"/>
    <w:basedOn w:val="Normal"/>
    <w:uiPriority w:val="34"/>
    <w:qFormat/>
    <w:rsid w:val="00fd091f"/>
    <w:pPr>
      <w:spacing w:before="0" w:after="5"/>
      <w:ind w:left="720"/>
      <w:contextualSpacing/>
    </w:pPr>
    <w:rPr/>
  </w:style>
  <w:style w:type="paragraph" w:styleId="Revision">
    <w:name w:val="Revision"/>
    <w:uiPriority w:val="99"/>
    <w:semiHidden/>
    <w:qFormat/>
    <w:rsid w:val="00c774dc"/>
    <w:pPr>
      <w:widowControl/>
      <w:suppressAutoHyphens w:val="true"/>
      <w:bidi w:val="0"/>
      <w:spacing w:lineRule="auto" w:line="240" w:before="0" w:after="0"/>
      <w:jc w:val="left"/>
    </w:pPr>
    <w:rPr>
      <w:rFonts w:ascii="Times New Roman" w:hAnsi="Times New Roman" w:eastAsia="Times New Roman" w:cs="Times New Roman"/>
      <w:color w:val="000000"/>
      <w:kern w:val="0"/>
      <w:sz w:val="24"/>
      <w:szCs w:val="22"/>
      <w:lang w:val="it-IT" w:eastAsia="it-IT" w:bidi="ar-SA"/>
    </w:rPr>
  </w:style>
  <w:style w:type="paragraph" w:styleId="BalloonText">
    <w:name w:val="Balloon Text"/>
    <w:basedOn w:val="Normal"/>
    <w:link w:val="TestofumettoCarattere"/>
    <w:uiPriority w:val="99"/>
    <w:semiHidden/>
    <w:unhideWhenUsed/>
    <w:qFormat/>
    <w:rsid w:val="00dc3bde"/>
    <w:pPr>
      <w:spacing w:lineRule="auto" w:line="240" w:before="0" w:after="0"/>
    </w:pPr>
    <w:rPr>
      <w:rFonts w:ascii="Segoe UI" w:hAnsi="Segoe UI" w:cs="Segoe UI"/>
      <w:sz w:val="18"/>
      <w:szCs w:val="18"/>
    </w:rPr>
  </w:style>
  <w:style w:type="paragraph" w:styleId="Default" w:customStyle="1">
    <w:name w:val="Default"/>
    <w:qFormat/>
    <w:rsid w:val="00c933e3"/>
    <w:pPr>
      <w:widowControl/>
      <w:suppressAutoHyphens w:val="true"/>
      <w:bidi w:val="0"/>
      <w:spacing w:lineRule="auto" w:line="240" w:before="0" w:after="0"/>
      <w:jc w:val="left"/>
    </w:pPr>
    <w:rPr>
      <w:rFonts w:ascii="Times New Roman" w:hAnsi="Times New Roman" w:eastAsia="" w:cs="Times New Roman"/>
      <w:color w:val="000000"/>
      <w:kern w:val="0"/>
      <w:sz w:val="24"/>
      <w:szCs w:val="24"/>
      <w:lang w:val="it-IT" w:eastAsia="it-IT" w:bidi="ar-SA"/>
    </w:rPr>
  </w:style>
  <w:style w:type="paragraph" w:styleId="Intestazioneepidipagina">
    <w:name w:val="Intestazione e piè di pagina"/>
    <w:basedOn w:val="Normal"/>
    <w:qFormat/>
    <w:pPr/>
    <w:rPr/>
  </w:style>
  <w:style w:type="paragraph" w:styleId="Header">
    <w:name w:val="Header"/>
    <w:basedOn w:val="Normal"/>
    <w:link w:val="IntestazioneCarattere"/>
    <w:uiPriority w:val="99"/>
    <w:unhideWhenUsed/>
    <w:rsid w:val="00e6307a"/>
    <w:pPr>
      <w:tabs>
        <w:tab w:val="clear" w:pos="708"/>
        <w:tab w:val="center" w:pos="4819" w:leader="none"/>
        <w:tab w:val="right" w:pos="9638" w:leader="none"/>
      </w:tabs>
      <w:spacing w:lineRule="auto" w:line="240" w:before="0" w:after="0"/>
    </w:pPr>
    <w:rPr/>
  </w:style>
  <w:style w:type="paragraph" w:styleId="Footer">
    <w:name w:val="Footer"/>
    <w:basedOn w:val="Intestazioneepidipagina"/>
    <w:pPr/>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
</Relationships>
</file>

<file path=word/theme/theme1.xml><?xml version="1.0" encoding="utf-8"?>
<a:theme xmlns:a="http://schemas.openxmlformats.org/drawingml/2006/main" xmlns:r="http://schemas.openxmlformats.org/officeDocument/2006/relationships" name="Tema di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31</TotalTime>
  <Application>LibreOffice/7.6.4.1$Windows_X86_64 LibreOffice_project/e19e193f88cd6c0525a17fb7a176ed8e6a3e2aa1</Application>
  <AppVersion>15.0000</AppVersion>
  <Pages>6</Pages>
  <Words>1807</Words>
  <Characters>10647</Characters>
  <CharactersWithSpaces>12461</CharactersWithSpaces>
  <Paragraphs>95</Paragraphs>
  <Company>Alma Mater Studiorum - Universita di Bologna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2024-02-19T14:32:00Z</dcterms:created>
  <dc:creator>ludovica.turchi</dc:creator>
  <dc:description/>
  <dc:language>it-IT</dc:language>
  <cp:lastModifiedBy>Paola Riccio</cp:lastModifiedBy>
  <cp:lastPrinted>2024-01-29T15:06:00Z</cp:lastPrinted>
  <dcterms:modified xsi:type="dcterms:W3CDTF">2024-05-15T10:11:29Z</dcterms:modified>
  <cp:revision>10</cp:revision>
  <dc:subject/>
  <dc:title>Microsoft Word - Duranti_convenzione DISCI-FICLIT-ASBO_revASBO_Ultima</dc:title>
</cp:coreProperties>
</file>

<file path=docProps/custom.xml><?xml version="1.0" encoding="utf-8"?>
<Properties xmlns="http://schemas.openxmlformats.org/officeDocument/2006/custom-properties" xmlns:vt="http://schemas.openxmlformats.org/officeDocument/2006/docPropsVTypes"/>
</file>