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jc w:val="center"/>
        <w:rPr>
          <w:b/>
          <w:sz w:val="16"/>
        </w:rPr>
      </w:pPr>
      <w:r>
        <w:rPr>
          <w:b/>
          <w:sz w:val="24"/>
          <w:szCs w:val="24"/>
        </w:rPr>
        <w:t xml:space="preserve">AUTODICHIARAZIONE REQUISITI </w:t>
      </w:r>
    </w:p>
    <w:p>
      <w:pPr>
        <w:pStyle w:val="Normal"/>
        <w:widowControl/>
        <w:jc w:val="center"/>
        <w:rPr>
          <w:b/>
          <w:sz w:val="16"/>
        </w:rPr>
      </w:pPr>
      <w:r>
        <w:rPr>
          <w:b/>
          <w:sz w:val="24"/>
          <w:szCs w:val="24"/>
        </w:rPr>
        <w:t xml:space="preserve">(Artt. 94 e 95 D.lgs 36/2023) </w:t>
      </w:r>
    </w:p>
    <w:p>
      <w:pPr>
        <w:pStyle w:val="Normal"/>
        <w:widowControl/>
        <w:jc w:val="center"/>
        <w:rPr>
          <w:b/>
          <w:sz w:val="16"/>
        </w:rPr>
      </w:pPr>
      <w:r>
        <w:rPr>
          <w:b/>
          <w:sz w:val="16"/>
        </w:rPr>
      </w:r>
    </w:p>
    <w:p>
      <w:pPr>
        <w:pStyle w:val="Normal"/>
        <w:widowControl/>
        <w:jc w:val="both"/>
        <w:rPr>
          <w:b/>
        </w:rPr>
      </w:pPr>
      <w:r>
        <w:rPr>
          <w:b/>
          <w:sz w:val="16"/>
        </w:rPr>
        <w:tab/>
        <w:tab/>
        <w:tab/>
      </w:r>
    </w:p>
    <w:p>
      <w:pPr>
        <w:pStyle w:val="Normal"/>
        <w:widowControl/>
        <w:jc w:val="both"/>
        <w:rPr>
          <w:b/>
        </w:rPr>
      </w:pPr>
      <w:r>
        <w:rPr>
          <w:b/>
        </w:rPr>
      </w:r>
    </w:p>
    <w:p>
      <w:pPr>
        <w:pStyle w:val="Normal"/>
        <w:widowControl/>
        <w:jc w:val="both"/>
        <w:rPr>
          <w:b/>
        </w:rPr>
      </w:pPr>
      <w:r>
        <w:rPr>
          <w:b/>
        </w:rPr>
      </w:r>
    </w:p>
    <w:p>
      <w:pPr>
        <w:pStyle w:val="Normal"/>
        <w:widowControl/>
        <w:jc w:val="both"/>
        <w:rPr>
          <w:sz w:val="16"/>
        </w:rPr>
      </w:pPr>
      <w:r>
        <w:rPr/>
        <w:tab/>
        <w:tab/>
        <w:tab/>
        <w:tab/>
        <w:tab/>
        <w:tab/>
      </w:r>
    </w:p>
    <w:p>
      <w:pPr>
        <w:pStyle w:val="Normal"/>
        <w:jc w:val="right"/>
        <w:rPr/>
      </w:pPr>
      <w:r>
        <w:rPr>
          <w:sz w:val="16"/>
        </w:rPr>
        <w:tab/>
        <w:tab/>
        <w:tab/>
        <w:tab/>
        <w:tab/>
        <w:tab/>
        <w:tab/>
      </w:r>
      <w:r>
        <w:rPr/>
        <w:tab/>
        <w:tab/>
        <w:t xml:space="preserve">Al </w:t>
      </w:r>
      <w:r>
        <w:rPr>
          <w:shd w:fill="auto" w:val="clear"/>
        </w:rPr>
        <w:t xml:space="preserve">Comune di Reggio </w:t>
      </w:r>
      <w:r>
        <w:rPr>
          <w:shd w:fill="auto" w:val="clear"/>
        </w:rPr>
        <w:t>nell’</w:t>
      </w:r>
      <w:r>
        <w:rPr>
          <w:shd w:fill="auto" w:val="clear"/>
        </w:rPr>
        <w:t>Emilia</w:t>
      </w:r>
    </w:p>
    <w:p>
      <w:pPr>
        <w:pStyle w:val="Normal"/>
        <w:jc w:val="right"/>
        <w:rPr>
          <w:highlight w:val="none"/>
          <w:shd w:fill="auto" w:val="clear"/>
        </w:rPr>
      </w:pPr>
      <w:r>
        <w:rPr>
          <w:shd w:fill="auto" w:val="clear"/>
        </w:rPr>
        <w:t>AREA SVILUPPO SOSTENIBILE</w:t>
      </w:r>
    </w:p>
    <w:p>
      <w:pPr>
        <w:pStyle w:val="Normal"/>
        <w:jc w:val="right"/>
        <w:rPr>
          <w:highlight w:val="none"/>
          <w:shd w:fill="auto" w:val="clear"/>
        </w:rPr>
      </w:pPr>
      <w:r>
        <w:rPr>
          <w:shd w:fill="auto" w:val="clear"/>
        </w:rPr>
        <w:t xml:space="preserve">Servizio  Cultura Intercultura Giovani </w:t>
      </w:r>
      <w:r>
        <w:rPr>
          <w:shd w:fill="auto" w:val="clear"/>
        </w:rPr>
        <w:t xml:space="preserve">e </w:t>
      </w:r>
      <w:r>
        <w:rPr>
          <w:shd w:fill="auto" w:val="clear"/>
        </w:rPr>
        <w:t>Universita’</w:t>
      </w:r>
    </w:p>
    <w:p>
      <w:pPr>
        <w:pStyle w:val="Normal"/>
        <w:jc w:val="right"/>
        <w:rPr/>
      </w:pPr>
      <w:r>
        <w:rPr>
          <w:shd w:fill="auto" w:val="clear"/>
        </w:rPr>
        <w:tab/>
        <w:tab/>
        <w:tab/>
      </w:r>
      <w:r>
        <w:rPr>
          <w:rStyle w:val="Hyperlink"/>
          <w:shd w:fill="auto" w:val="clear"/>
        </w:rPr>
        <w:t>servizi.culturali@pec.municipio.re.it</w:t>
      </w:r>
    </w:p>
    <w:p>
      <w:pPr>
        <w:pStyle w:val="Normal"/>
        <w:jc w:val="right"/>
        <w:rPr>
          <w:highlight w:val="none"/>
          <w:shd w:fill="auto" w:val="clear"/>
        </w:rPr>
      </w:pPr>
      <w:r>
        <w:rPr>
          <w:shd w:fill="auto" w:val="clear"/>
        </w:rPr>
      </w:r>
    </w:p>
    <w:p>
      <w:pPr>
        <w:pStyle w:val="Normal"/>
        <w:jc w:val="right"/>
        <w:rPr/>
      </w:pPr>
      <w:r>
        <w:rPr/>
        <w:tab/>
        <w:tab/>
        <w:tab/>
        <w:tab/>
        <w:tab/>
        <w:tab/>
        <w:tab/>
      </w:r>
    </w:p>
    <w:p>
      <w:pPr>
        <w:pStyle w:val="Normal"/>
        <w:rPr>
          <w:b/>
          <w:bCs/>
        </w:rPr>
      </w:pPr>
      <w:r>
        <w:rPr>
          <w:b/>
          <w:bCs/>
        </w:rPr>
      </w:r>
    </w:p>
    <w:p>
      <w:pPr>
        <w:pStyle w:val="Normal"/>
        <w:jc w:val="both"/>
        <w:rPr>
          <w:highlight w:val="none"/>
          <w:shd w:fill="FFFF00" w:val="clear"/>
        </w:rPr>
      </w:pPr>
      <w:r>
        <w:rPr>
          <w:rStyle w:val="Carpredefinitoparagrafo2"/>
          <w:rFonts w:eastAsia="SimSun" w:cs="Arial" w:ascii="Arial" w:hAnsi="Arial"/>
          <w:b/>
          <w:bCs/>
          <w:i w:val="false"/>
          <w:iCs w:val="false"/>
          <w:color w:val="000000"/>
          <w:kern w:val="2"/>
          <w:sz w:val="22"/>
          <w:szCs w:val="22"/>
          <w:u w:val="none"/>
          <w:shd w:fill="auto" w:val="clear"/>
          <w:lang w:val="it-IT" w:eastAsia="zh-CN" w:bidi="hi-IN"/>
        </w:rPr>
        <w:t xml:space="preserve">PNRR-M1C3-INTERVENTO 1.2 “RIMOZIONE DELLE BARRIERE FISICHE E COGNITIVE IN MUSEI, BIBLIOTECHE E ARCHIVI PER CONSENTIRE UN PIÙ’ AMPIO ACCESSO </w:t>
      </w:r>
      <w:r>
        <w:rPr>
          <w:rStyle w:val="Carpredefinitoparagrafo2"/>
          <w:rFonts w:eastAsia="SimSun" w:cs="Arial" w:ascii="Arial" w:hAnsi="Arial"/>
          <w:b/>
          <w:bCs/>
          <w:i w:val="false"/>
          <w:iCs w:val="false"/>
          <w:color w:val="000000"/>
          <w:kern w:val="2"/>
          <w:sz w:val="22"/>
          <w:szCs w:val="22"/>
          <w:u w:val="none"/>
          <w:shd w:fill="auto" w:val="clear"/>
          <w:lang w:val="it-IT" w:eastAsia="zh-CN" w:bidi="hi-IN"/>
        </w:rPr>
        <w:t>E</w:t>
      </w:r>
      <w:r>
        <w:rPr>
          <w:rStyle w:val="Carpredefinitoparagrafo2"/>
          <w:rFonts w:eastAsia="SimSun" w:cs="Arial" w:ascii="Arial" w:hAnsi="Arial"/>
          <w:b/>
          <w:bCs/>
          <w:i w:val="false"/>
          <w:iCs w:val="false"/>
          <w:color w:val="000000"/>
          <w:kern w:val="2"/>
          <w:sz w:val="22"/>
          <w:szCs w:val="22"/>
          <w:u w:val="none"/>
          <w:shd w:fill="auto" w:val="clear"/>
          <w:lang w:val="it-IT" w:eastAsia="zh-CN" w:bidi="hi-IN"/>
        </w:rPr>
        <w:t xml:space="preserve"> PARTECIPAZIONE ALLA CULTURA” - FINANZIATO DALL’UNIONE EUROPEA – NEXT GENERATION EU – RIQUALIFICAZIONE DELL'ACCESSIBILITÀ’ FISICA DEGLI SPAZI CORTILIVI ESTERNI E REVISIONE DEI PERCORSI MUSEALI E DELLA COMUNICAZIONE PER LA COMPLETA FRUIZIONE DELLE ESPERIENZE CULTURALI DI PALAZZO DEI MUSEI - CUP J87B22000800006_ SOTTOPROGETTO 2.</w:t>
      </w:r>
    </w:p>
    <w:p>
      <w:pPr>
        <w:pStyle w:val="Normal"/>
        <w:jc w:val="both"/>
        <w:rPr>
          <w:highlight w:val="none"/>
          <w:shd w:fill="FFFF00" w:val="clear"/>
        </w:rPr>
      </w:pPr>
      <w:r>
        <w:rPr>
          <w:rStyle w:val="Carpredefinitoparagrafo2"/>
          <w:rFonts w:eastAsia="SimSun" w:cs="Arial" w:ascii="Arial" w:hAnsi="Arial"/>
          <w:b/>
          <w:bCs/>
          <w:i w:val="false"/>
          <w:iCs w:val="false"/>
          <w:color w:val="000000"/>
          <w:kern w:val="2"/>
          <w:sz w:val="22"/>
          <w:szCs w:val="22"/>
          <w:u w:val="none"/>
          <w:shd w:fill="auto" w:val="clear"/>
          <w:lang w:val="it-IT" w:eastAsia="zh-CN" w:bidi="hi-IN"/>
        </w:rPr>
        <w:t>Richiesta di offerta per l’affidamento tramite trattativa diretta sul mercato elettronico di Consip (MePA) della fornitura di arredi  a servizio di Palazzo dei Musei.</w:t>
      </w:r>
    </w:p>
    <w:p>
      <w:pPr>
        <w:pStyle w:val="Normal"/>
        <w:jc w:val="both"/>
        <w:rPr>
          <w:highlight w:val="none"/>
          <w:shd w:fill="FFFF00" w:val="clear"/>
        </w:rPr>
      </w:pPr>
      <w:r>
        <w:rPr>
          <w:shd w:fill="FFFF00" w:val="clear"/>
        </w:rPr>
      </w:r>
    </w:p>
    <w:p>
      <w:pPr>
        <w:pStyle w:val="Normal"/>
        <w:tabs>
          <w:tab w:val="clear" w:pos="708"/>
          <w:tab w:val="left" w:pos="1134" w:leader="none"/>
        </w:tabs>
        <w:ind w:hanging="1134" w:left="1134"/>
        <w:jc w:val="both"/>
        <w:rPr>
          <w:caps/>
          <w:color w:val="000000"/>
        </w:rPr>
      </w:pPr>
      <w:r>
        <w:rPr>
          <w:caps/>
          <w:color w:val="000000"/>
        </w:rPr>
      </w:r>
    </w:p>
    <w:p>
      <w:pPr>
        <w:pStyle w:val="Normal"/>
        <w:widowControl/>
        <w:jc w:val="both"/>
        <w:rPr/>
      </w:pPr>
      <w:r>
        <w:rPr/>
        <w:t>Premesso che quanto di seguito dichiarato è reso ai sensi degli articoli 46 e 47 del DPR 445/2000, consapevole delle sanzioni penali previste all’articolo 76 per le ipotesi di falsità in atti e dichiarazioni mendaci:</w:t>
      </w:r>
    </w:p>
    <w:p>
      <w:pPr>
        <w:pStyle w:val="Normal"/>
        <w:widowControl/>
        <w:tabs>
          <w:tab w:val="clear" w:pos="708"/>
          <w:tab w:val="left" w:pos="709" w:leader="none"/>
          <w:tab w:val="left" w:pos="851" w:leader="none"/>
        </w:tabs>
        <w:spacing w:lineRule="auto" w:line="360"/>
        <w:jc w:val="both"/>
        <w:rPr/>
      </w:pPr>
      <w:r>
        <w:rPr/>
      </w:r>
    </w:p>
    <w:p>
      <w:pPr>
        <w:pStyle w:val="Normal"/>
        <w:widowControl/>
        <w:spacing w:lineRule="auto" w:line="360"/>
        <w:jc w:val="both"/>
        <w:rPr/>
      </w:pPr>
      <w:r>
        <w:rPr/>
        <w:t>Il/La sottoscritt_______________________ nat__ a___________________________ il_________ Prov. ___ residente in Comune di_______________________ Prov.___ Via_______________________________ n___ in qualità di_____________________________ della ditta_________________________ con sede in Comune di _________________ Prov. ___ CAP ________ Via____________________________ n___ C.F.</w:t>
      </w:r>
      <w:r>
        <w:rPr>
          <w:lang w:val="fr-FR"/>
        </w:rPr>
        <w:t>___________</w:t>
      </w:r>
      <w:r>
        <w:rPr/>
        <w:t xml:space="preserve"> P.I.</w:t>
      </w:r>
      <w:r>
        <w:rPr>
          <w:lang w:val="fr-FR"/>
        </w:rPr>
        <w:t>_____________</w:t>
      </w:r>
      <w:r>
        <w:rPr/>
        <w:t xml:space="preserve"> </w:t>
      </w:r>
      <w:r>
        <w:rPr>
          <w:lang w:val="fr-FR"/>
        </w:rPr>
        <w:t>Tel_____/_________ Fax_____/_____________ e-mail_______________ ____in qualità di:</w:t>
      </w:r>
    </w:p>
    <w:p>
      <w:pPr>
        <w:pStyle w:val="Normal"/>
        <w:widowControl/>
        <w:spacing w:lineRule="auto" w:line="360"/>
        <w:jc w:val="center"/>
        <w:rPr/>
      </w:pPr>
      <w:r>
        <w:rPr/>
        <w:t>(quando previste barrare le caselle che corrispondono al vero e completare)</w:t>
      </w:r>
    </w:p>
    <w:p>
      <w:pPr>
        <w:pStyle w:val="Normal"/>
        <w:widowControl/>
        <w:spacing w:lineRule="auto" w:line="360"/>
        <w:rPr/>
      </w:pPr>
      <w:r>
        <w:rPr>
          <w:b/>
          <w:sz w:val="28"/>
          <w:szCs w:val="28"/>
        </w:rPr>
        <w:t>O</w:t>
      </w:r>
      <w:r>
        <w:rPr/>
        <w:t xml:space="preserve">    singolo partecipante (impresa singola o consorzio)</w:t>
      </w:r>
    </w:p>
    <w:p>
      <w:pPr>
        <w:pStyle w:val="Normal"/>
        <w:widowControl/>
        <w:tabs>
          <w:tab w:val="clear" w:pos="708"/>
          <w:tab w:val="left" w:pos="426" w:leader="none"/>
        </w:tabs>
        <w:spacing w:lineRule="auto" w:line="360"/>
        <w:rPr/>
      </w:pPr>
      <w:r>
        <w:rPr>
          <w:b/>
          <w:sz w:val="28"/>
          <w:szCs w:val="28"/>
        </w:rPr>
        <w:t xml:space="preserve">O </w:t>
      </w:r>
      <w:r>
        <w:rPr/>
        <w:tab/>
        <w:t>consorziata del consorzio _____________________________________ C.F._______________________;</w:t>
      </w:r>
    </w:p>
    <w:p>
      <w:pPr>
        <w:pStyle w:val="Sche3"/>
        <w:tabs>
          <w:tab w:val="clear" w:pos="708"/>
          <w:tab w:val="left" w:pos="426" w:leader="none"/>
        </w:tabs>
        <w:bidi w:val="0"/>
        <w:spacing w:lineRule="auto" w:line="360"/>
        <w:ind w:hanging="420" w:left="420" w:right="0"/>
        <w:jc w:val="left"/>
        <w:rPr/>
      </w:pPr>
      <w:r>
        <w:rPr>
          <w:b/>
          <w:sz w:val="28"/>
          <w:szCs w:val="28"/>
          <w:lang w:val="it-IT"/>
        </w:rPr>
        <w:t xml:space="preserve">O </w:t>
      </w:r>
      <w:r>
        <w:rPr>
          <w:lang w:val="it-IT"/>
        </w:rPr>
        <w:tab/>
        <w:t>mandante/mandataria del RTC con quota di partecipazione pari al _________  % per l’esecuzione di ________________________________;</w:t>
      </w:r>
    </w:p>
    <w:p>
      <w:pPr>
        <w:pStyle w:val="Sche3"/>
        <w:tabs>
          <w:tab w:val="clear" w:pos="708"/>
          <w:tab w:val="left" w:pos="426" w:leader="none"/>
        </w:tabs>
        <w:bidi w:val="0"/>
        <w:spacing w:lineRule="auto" w:line="360"/>
        <w:ind w:hanging="420" w:left="420" w:right="0"/>
        <w:jc w:val="left"/>
        <w:rPr/>
      </w:pPr>
      <w:r>
        <w:rPr>
          <w:b/>
          <w:sz w:val="28"/>
          <w:szCs w:val="28"/>
          <w:lang w:val="it-IT"/>
        </w:rPr>
        <w:t xml:space="preserve">O </w:t>
      </w:r>
      <w:r>
        <w:rPr>
          <w:lang w:val="it-IT"/>
        </w:rPr>
        <w:tab/>
        <w:t>mandante/mandataria del COC con quota di partecipazione pari al _________  % per l’esecuzione di ________________________________;</w:t>
      </w:r>
    </w:p>
    <w:p>
      <w:pPr>
        <w:pStyle w:val="Normal"/>
        <w:widowControl/>
        <w:tabs>
          <w:tab w:val="clear" w:pos="708"/>
          <w:tab w:val="left" w:pos="0" w:leader="none"/>
          <w:tab w:val="left" w:pos="426" w:leader="none"/>
        </w:tabs>
        <w:spacing w:lineRule="auto" w:line="360"/>
        <w:ind w:hanging="420" w:left="420" w:right="57"/>
        <w:jc w:val="both"/>
        <w:rPr>
          <w:b/>
          <w:strike/>
        </w:rPr>
      </w:pPr>
      <w:r>
        <w:rPr>
          <w:b/>
          <w:strike/>
        </w:rPr>
      </w:r>
    </w:p>
    <w:p>
      <w:pPr>
        <w:pStyle w:val="Normal"/>
        <w:widowControl/>
        <w:jc w:val="center"/>
        <w:rPr>
          <w:b/>
        </w:rPr>
      </w:pPr>
      <w:r>
        <w:rPr>
          <w:b/>
        </w:rPr>
        <w:t>DICHIARA</w:t>
      </w:r>
    </w:p>
    <w:p>
      <w:pPr>
        <w:pStyle w:val="Normal"/>
        <w:widowControl/>
        <w:tabs>
          <w:tab w:val="clear" w:pos="708"/>
          <w:tab w:val="left" w:pos="0" w:leader="none"/>
        </w:tabs>
        <w:ind w:right="56"/>
        <w:jc w:val="both"/>
        <w:rPr>
          <w:b/>
        </w:rPr>
      </w:pPr>
      <w:r>
        <w:rPr>
          <w:b/>
        </w:rPr>
      </w:r>
    </w:p>
    <w:p>
      <w:pPr>
        <w:pStyle w:val="Normal"/>
        <w:widowControl/>
        <w:tabs>
          <w:tab w:val="clear" w:pos="708"/>
          <w:tab w:val="left" w:pos="0" w:leader="none"/>
        </w:tabs>
        <w:ind w:right="56"/>
        <w:jc w:val="both"/>
        <w:rPr>
          <w:b/>
        </w:rPr>
      </w:pPr>
      <w:r>
        <w:rPr>
          <w:b/>
        </w:rPr>
      </w:r>
    </w:p>
    <w:p>
      <w:pPr>
        <w:pStyle w:val="Normal"/>
        <w:widowControl/>
        <w:tabs>
          <w:tab w:val="clear" w:pos="708"/>
          <w:tab w:val="left" w:pos="0" w:leader="none"/>
          <w:tab w:val="left" w:pos="1020" w:leader="none"/>
        </w:tabs>
        <w:jc w:val="both"/>
        <w:rPr/>
      </w:pPr>
      <w:r>
        <w:rPr/>
        <w:t>1) che le persone aventi cariche rilevanti ex art. 94 comma 3 D.Lgs. 36/2023 e  i soggetti sottoposti alla verifica antimafia ex art. 85 D.Lgs. 159/2011 sono le seguenti (barrare l’opzione che corrisponde al vero e completare se richiesto)</w:t>
      </w:r>
      <w:r>
        <w:rPr>
          <w:rStyle w:val="FootnoteReference"/>
        </w:rPr>
        <w:footnoteReference w:id="2"/>
      </w:r>
      <w:r>
        <w:rPr/>
        <w:t>:</w:t>
      </w:r>
    </w:p>
    <w:p>
      <w:pPr>
        <w:pStyle w:val="Normal"/>
        <w:widowControl/>
        <w:tabs>
          <w:tab w:val="clear" w:pos="708"/>
          <w:tab w:val="left" w:pos="0" w:leader="none"/>
          <w:tab w:val="left" w:pos="1020" w:leader="none"/>
        </w:tabs>
        <w:rPr/>
      </w:pPr>
      <w:r>
        <w:rPr/>
      </w:r>
    </w:p>
    <w:p>
      <w:pPr>
        <w:pStyle w:val="Normal"/>
        <w:widowControl/>
        <w:tabs>
          <w:tab w:val="clear" w:pos="708"/>
          <w:tab w:val="left" w:pos="567" w:leader="none"/>
        </w:tabs>
        <w:ind w:hanging="426" w:left="993" w:right="0"/>
        <w:rPr/>
      </w:pPr>
      <w:r>
        <w:rPr/>
        <w:t xml:space="preserve">O </w:t>
        <w:tab/>
        <w:t>le persone risultanti dalla certificazione della CCIAA di iscrizione (</w:t>
      </w:r>
      <w:r>
        <w:rPr>
          <w:i/>
        </w:rPr>
        <w:t>se si seleziona questa opzione l’elenco dei soggetti di cui all’opzione successiva NON deve essere compilato</w:t>
      </w:r>
      <w:r>
        <w:rPr/>
        <w:t>);</w:t>
      </w:r>
      <w:r>
        <w:rPr>
          <w:rStyle w:val="FootnoteReference"/>
        </w:rPr>
        <w:footnoteReference w:id="3"/>
      </w:r>
    </w:p>
    <w:p>
      <w:pPr>
        <w:pStyle w:val="Normal"/>
        <w:widowControl/>
        <w:tabs>
          <w:tab w:val="clear" w:pos="708"/>
          <w:tab w:val="left" w:pos="0" w:leader="none"/>
          <w:tab w:val="left" w:pos="1020" w:leader="none"/>
        </w:tabs>
        <w:jc w:val="center"/>
        <w:rPr/>
      </w:pPr>
      <w:r>
        <w:rPr/>
        <w:t>ovvero</w:t>
      </w:r>
    </w:p>
    <w:p>
      <w:pPr>
        <w:pStyle w:val="Normal"/>
        <w:widowControl/>
        <w:tabs>
          <w:tab w:val="clear" w:pos="708"/>
          <w:tab w:val="left" w:pos="993" w:leader="none"/>
        </w:tabs>
        <w:ind w:left="567" w:right="0"/>
        <w:rPr/>
      </w:pPr>
      <w:r>
        <w:rPr/>
        <w:t xml:space="preserve">O </w:t>
        <w:tab/>
        <w:t xml:space="preserve">sono le seguenti: </w:t>
      </w:r>
      <w:r>
        <w:rPr>
          <w:caps/>
        </w:rPr>
        <w:t>(</w:t>
      </w:r>
      <w:r>
        <w:rPr/>
        <w:t>precisare titolo/qualifica, dati anagrafici e residenza</w:t>
      </w:r>
      <w:r>
        <w:rPr>
          <w:caps/>
        </w:rPr>
        <w:t>):</w:t>
      </w:r>
      <w:r>
        <w:rPr>
          <w:rStyle w:val="FootnoteReference"/>
          <w:caps/>
        </w:rPr>
        <w:footnoteReference w:id="4"/>
      </w:r>
    </w:p>
    <w:tbl>
      <w:tblPr>
        <w:tblW w:w="8598" w:type="dxa"/>
        <w:jc w:val="left"/>
        <w:tblInd w:w="108" w:type="dxa"/>
        <w:tblLayout w:type="fixed"/>
        <w:tblCellMar>
          <w:top w:w="0" w:type="dxa"/>
          <w:left w:w="108" w:type="dxa"/>
          <w:bottom w:w="0" w:type="dxa"/>
          <w:right w:w="108" w:type="dxa"/>
        </w:tblCellMar>
      </w:tblPr>
      <w:tblGrid>
        <w:gridCol w:w="1293"/>
        <w:gridCol w:w="1556"/>
        <w:gridCol w:w="1337"/>
        <w:gridCol w:w="1853"/>
        <w:gridCol w:w="2559"/>
      </w:tblGrid>
      <w:tr>
        <w:trPr/>
        <w:tc>
          <w:tcPr>
            <w:tcW w:w="1293" w:type="dxa"/>
            <w:tcBorders>
              <w:top w:val="single" w:sz="4" w:space="0" w:color="000000"/>
              <w:left w:val="single" w:sz="4" w:space="0" w:color="000000"/>
              <w:bottom w:val="single" w:sz="4" w:space="0" w:color="000000"/>
            </w:tcBorders>
          </w:tcPr>
          <w:p>
            <w:pPr>
              <w:pStyle w:val="Normal"/>
              <w:widowControl/>
              <w:tabs>
                <w:tab w:val="clear" w:pos="708"/>
                <w:tab w:val="left" w:pos="0" w:leader="none"/>
              </w:tabs>
              <w:jc w:val="both"/>
              <w:rPr/>
            </w:pPr>
            <w:r>
              <w:rPr/>
              <w:t>Carica e impresa di riferimento</w:t>
            </w:r>
            <w:r>
              <w:rPr>
                <w:rStyle w:val="FootnoteReference"/>
              </w:rPr>
              <w:footnoteReference w:id="5"/>
            </w:r>
          </w:p>
        </w:tc>
        <w:tc>
          <w:tcPr>
            <w:tcW w:w="1556" w:type="dxa"/>
            <w:tcBorders>
              <w:top w:val="single" w:sz="4" w:space="0" w:color="000000"/>
              <w:left w:val="single" w:sz="4" w:space="0" w:color="000000"/>
              <w:bottom w:val="single" w:sz="4" w:space="0" w:color="000000"/>
            </w:tcBorders>
          </w:tcPr>
          <w:p>
            <w:pPr>
              <w:pStyle w:val="Normal"/>
              <w:widowControl/>
              <w:tabs>
                <w:tab w:val="clear" w:pos="708"/>
                <w:tab w:val="left" w:pos="0" w:leader="none"/>
              </w:tabs>
              <w:jc w:val="both"/>
              <w:rPr/>
            </w:pPr>
            <w:r>
              <w:rPr/>
              <w:t>Cognome e Nome</w:t>
            </w:r>
          </w:p>
        </w:tc>
        <w:tc>
          <w:tcPr>
            <w:tcW w:w="1337" w:type="dxa"/>
            <w:tcBorders>
              <w:top w:val="single" w:sz="4" w:space="0" w:color="000000"/>
              <w:left w:val="single" w:sz="4" w:space="0" w:color="000000"/>
              <w:bottom w:val="single" w:sz="4" w:space="0" w:color="000000"/>
            </w:tcBorders>
          </w:tcPr>
          <w:p>
            <w:pPr>
              <w:pStyle w:val="Normal"/>
              <w:widowControl/>
              <w:tabs>
                <w:tab w:val="clear" w:pos="708"/>
                <w:tab w:val="left" w:pos="0" w:leader="none"/>
              </w:tabs>
              <w:jc w:val="both"/>
              <w:rPr/>
            </w:pPr>
            <w:r>
              <w:rPr/>
              <w:t>Codice Fiscale</w:t>
            </w:r>
          </w:p>
        </w:tc>
        <w:tc>
          <w:tcPr>
            <w:tcW w:w="1853" w:type="dxa"/>
            <w:tcBorders>
              <w:top w:val="single" w:sz="4" w:space="0" w:color="000000"/>
              <w:left w:val="single" w:sz="4" w:space="0" w:color="000000"/>
              <w:bottom w:val="single" w:sz="4" w:space="0" w:color="000000"/>
            </w:tcBorders>
          </w:tcPr>
          <w:p>
            <w:pPr>
              <w:pStyle w:val="Normal"/>
              <w:widowControl/>
              <w:tabs>
                <w:tab w:val="clear" w:pos="708"/>
                <w:tab w:val="left" w:pos="0" w:leader="none"/>
              </w:tabs>
              <w:jc w:val="both"/>
              <w:rPr/>
            </w:pPr>
            <w:r>
              <w:rPr/>
              <w:t>Luogo e data di nascita</w:t>
            </w:r>
          </w:p>
        </w:tc>
        <w:tc>
          <w:tcPr>
            <w:tcW w:w="2559" w:type="dxa"/>
            <w:tcBorders>
              <w:top w:val="single" w:sz="4" w:space="0" w:color="000000"/>
              <w:left w:val="single" w:sz="4" w:space="0" w:color="000000"/>
              <w:bottom w:val="single" w:sz="4" w:space="0" w:color="000000"/>
              <w:right w:val="single" w:sz="4" w:space="0" w:color="000000"/>
            </w:tcBorders>
          </w:tcPr>
          <w:p>
            <w:pPr>
              <w:pStyle w:val="Normal"/>
              <w:widowControl/>
              <w:tabs>
                <w:tab w:val="clear" w:pos="708"/>
                <w:tab w:val="left" w:pos="0" w:leader="none"/>
              </w:tabs>
              <w:jc w:val="both"/>
              <w:rPr/>
            </w:pPr>
            <w:r>
              <w:rPr/>
              <w:t>Comune e indirizzo di residenza</w:t>
            </w:r>
          </w:p>
        </w:tc>
      </w:tr>
      <w:tr>
        <w:trPr>
          <w:trHeight w:val="454" w:hRule="atLeast"/>
        </w:trPr>
        <w:tc>
          <w:tcPr>
            <w:tcW w:w="1293" w:type="dxa"/>
            <w:tcBorders>
              <w:top w:val="single" w:sz="4" w:space="0" w:color="000000"/>
              <w:left w:val="single" w:sz="4" w:space="0" w:color="000000"/>
              <w:bottom w:val="single" w:sz="4" w:space="0" w:color="000000"/>
            </w:tcBorders>
          </w:tcPr>
          <w:p>
            <w:pPr>
              <w:pStyle w:val="Normal"/>
              <w:widowControl/>
              <w:tabs>
                <w:tab w:val="clear" w:pos="708"/>
                <w:tab w:val="left" w:pos="0" w:leader="none"/>
              </w:tabs>
              <w:snapToGrid w:val="false"/>
              <w:jc w:val="both"/>
              <w:rPr/>
            </w:pPr>
            <w:r>
              <w:rPr/>
            </w:r>
          </w:p>
        </w:tc>
        <w:tc>
          <w:tcPr>
            <w:tcW w:w="1556" w:type="dxa"/>
            <w:tcBorders>
              <w:top w:val="single" w:sz="4" w:space="0" w:color="000000"/>
              <w:left w:val="single" w:sz="4" w:space="0" w:color="000000"/>
              <w:bottom w:val="single" w:sz="4" w:space="0" w:color="000000"/>
            </w:tcBorders>
          </w:tcPr>
          <w:p>
            <w:pPr>
              <w:pStyle w:val="Normal"/>
              <w:widowControl/>
              <w:tabs>
                <w:tab w:val="clear" w:pos="708"/>
                <w:tab w:val="left" w:pos="0" w:leader="none"/>
              </w:tabs>
              <w:snapToGrid w:val="false"/>
              <w:jc w:val="both"/>
              <w:rPr/>
            </w:pPr>
            <w:r>
              <w:rPr/>
            </w:r>
          </w:p>
        </w:tc>
        <w:tc>
          <w:tcPr>
            <w:tcW w:w="1337" w:type="dxa"/>
            <w:tcBorders>
              <w:top w:val="single" w:sz="4" w:space="0" w:color="000000"/>
              <w:left w:val="single" w:sz="4" w:space="0" w:color="000000"/>
              <w:bottom w:val="single" w:sz="4" w:space="0" w:color="000000"/>
            </w:tcBorders>
          </w:tcPr>
          <w:p>
            <w:pPr>
              <w:pStyle w:val="Normal"/>
              <w:widowControl/>
              <w:tabs>
                <w:tab w:val="clear" w:pos="708"/>
                <w:tab w:val="left" w:pos="0" w:leader="none"/>
              </w:tabs>
              <w:snapToGrid w:val="false"/>
              <w:jc w:val="both"/>
              <w:rPr/>
            </w:pPr>
            <w:r>
              <w:rPr/>
            </w:r>
          </w:p>
        </w:tc>
        <w:tc>
          <w:tcPr>
            <w:tcW w:w="1853" w:type="dxa"/>
            <w:tcBorders>
              <w:top w:val="single" w:sz="4" w:space="0" w:color="000000"/>
              <w:left w:val="single" w:sz="4" w:space="0" w:color="000000"/>
              <w:bottom w:val="single" w:sz="4" w:space="0" w:color="000000"/>
            </w:tcBorders>
          </w:tcPr>
          <w:p>
            <w:pPr>
              <w:pStyle w:val="Normal"/>
              <w:widowControl/>
              <w:tabs>
                <w:tab w:val="clear" w:pos="708"/>
                <w:tab w:val="left" w:pos="0" w:leader="none"/>
              </w:tabs>
              <w:snapToGrid w:val="false"/>
              <w:jc w:val="both"/>
              <w:rPr/>
            </w:pPr>
            <w:r>
              <w:rPr/>
            </w:r>
          </w:p>
        </w:tc>
        <w:tc>
          <w:tcPr>
            <w:tcW w:w="2559" w:type="dxa"/>
            <w:tcBorders>
              <w:top w:val="single" w:sz="4" w:space="0" w:color="000000"/>
              <w:left w:val="single" w:sz="4" w:space="0" w:color="000000"/>
              <w:bottom w:val="single" w:sz="4" w:space="0" w:color="000000"/>
              <w:right w:val="single" w:sz="4" w:space="0" w:color="000000"/>
            </w:tcBorders>
          </w:tcPr>
          <w:p>
            <w:pPr>
              <w:pStyle w:val="Normal"/>
              <w:widowControl/>
              <w:tabs>
                <w:tab w:val="clear" w:pos="708"/>
                <w:tab w:val="left" w:pos="0" w:leader="none"/>
              </w:tabs>
              <w:snapToGrid w:val="false"/>
              <w:jc w:val="both"/>
              <w:rPr/>
            </w:pPr>
            <w:r>
              <w:rPr/>
            </w:r>
          </w:p>
        </w:tc>
      </w:tr>
      <w:tr>
        <w:trPr>
          <w:trHeight w:val="454" w:hRule="atLeast"/>
        </w:trPr>
        <w:tc>
          <w:tcPr>
            <w:tcW w:w="1293" w:type="dxa"/>
            <w:tcBorders>
              <w:top w:val="single" w:sz="4" w:space="0" w:color="000000"/>
              <w:left w:val="single" w:sz="4" w:space="0" w:color="000000"/>
              <w:bottom w:val="single" w:sz="4" w:space="0" w:color="000000"/>
            </w:tcBorders>
          </w:tcPr>
          <w:p>
            <w:pPr>
              <w:pStyle w:val="Normal"/>
              <w:widowControl/>
              <w:tabs>
                <w:tab w:val="clear" w:pos="708"/>
                <w:tab w:val="left" w:pos="0" w:leader="none"/>
              </w:tabs>
              <w:snapToGrid w:val="false"/>
              <w:jc w:val="both"/>
              <w:rPr/>
            </w:pPr>
            <w:r>
              <w:rPr/>
            </w:r>
          </w:p>
        </w:tc>
        <w:tc>
          <w:tcPr>
            <w:tcW w:w="1556" w:type="dxa"/>
            <w:tcBorders>
              <w:top w:val="single" w:sz="4" w:space="0" w:color="000000"/>
              <w:left w:val="single" w:sz="4" w:space="0" w:color="000000"/>
              <w:bottom w:val="single" w:sz="4" w:space="0" w:color="000000"/>
            </w:tcBorders>
          </w:tcPr>
          <w:p>
            <w:pPr>
              <w:pStyle w:val="Normal"/>
              <w:widowControl/>
              <w:tabs>
                <w:tab w:val="clear" w:pos="708"/>
                <w:tab w:val="left" w:pos="0" w:leader="none"/>
              </w:tabs>
              <w:snapToGrid w:val="false"/>
              <w:jc w:val="both"/>
              <w:rPr/>
            </w:pPr>
            <w:r>
              <w:rPr/>
            </w:r>
          </w:p>
        </w:tc>
        <w:tc>
          <w:tcPr>
            <w:tcW w:w="1337" w:type="dxa"/>
            <w:tcBorders>
              <w:top w:val="single" w:sz="4" w:space="0" w:color="000000"/>
              <w:left w:val="single" w:sz="4" w:space="0" w:color="000000"/>
              <w:bottom w:val="single" w:sz="4" w:space="0" w:color="000000"/>
            </w:tcBorders>
          </w:tcPr>
          <w:p>
            <w:pPr>
              <w:pStyle w:val="Normal"/>
              <w:widowControl/>
              <w:tabs>
                <w:tab w:val="clear" w:pos="708"/>
                <w:tab w:val="left" w:pos="0" w:leader="none"/>
              </w:tabs>
              <w:snapToGrid w:val="false"/>
              <w:jc w:val="both"/>
              <w:rPr/>
            </w:pPr>
            <w:r>
              <w:rPr/>
            </w:r>
          </w:p>
        </w:tc>
        <w:tc>
          <w:tcPr>
            <w:tcW w:w="1853" w:type="dxa"/>
            <w:tcBorders>
              <w:top w:val="single" w:sz="4" w:space="0" w:color="000000"/>
              <w:left w:val="single" w:sz="4" w:space="0" w:color="000000"/>
              <w:bottom w:val="single" w:sz="4" w:space="0" w:color="000000"/>
            </w:tcBorders>
          </w:tcPr>
          <w:p>
            <w:pPr>
              <w:pStyle w:val="Normal"/>
              <w:widowControl/>
              <w:tabs>
                <w:tab w:val="clear" w:pos="708"/>
                <w:tab w:val="left" w:pos="0" w:leader="none"/>
              </w:tabs>
              <w:snapToGrid w:val="false"/>
              <w:jc w:val="both"/>
              <w:rPr/>
            </w:pPr>
            <w:r>
              <w:rPr/>
            </w:r>
          </w:p>
        </w:tc>
        <w:tc>
          <w:tcPr>
            <w:tcW w:w="2559" w:type="dxa"/>
            <w:tcBorders>
              <w:top w:val="single" w:sz="4" w:space="0" w:color="000000"/>
              <w:left w:val="single" w:sz="4" w:space="0" w:color="000000"/>
              <w:bottom w:val="single" w:sz="4" w:space="0" w:color="000000"/>
              <w:right w:val="single" w:sz="4" w:space="0" w:color="000000"/>
            </w:tcBorders>
          </w:tcPr>
          <w:p>
            <w:pPr>
              <w:pStyle w:val="Normal"/>
              <w:widowControl/>
              <w:tabs>
                <w:tab w:val="clear" w:pos="708"/>
                <w:tab w:val="left" w:pos="0" w:leader="none"/>
              </w:tabs>
              <w:snapToGrid w:val="false"/>
              <w:jc w:val="both"/>
              <w:rPr/>
            </w:pPr>
            <w:r>
              <w:rPr/>
            </w:r>
          </w:p>
        </w:tc>
      </w:tr>
      <w:tr>
        <w:trPr>
          <w:trHeight w:val="454" w:hRule="atLeast"/>
        </w:trPr>
        <w:tc>
          <w:tcPr>
            <w:tcW w:w="1293" w:type="dxa"/>
            <w:tcBorders>
              <w:top w:val="single" w:sz="4" w:space="0" w:color="000000"/>
              <w:left w:val="single" w:sz="4" w:space="0" w:color="000000"/>
              <w:bottom w:val="single" w:sz="4" w:space="0" w:color="000000"/>
            </w:tcBorders>
          </w:tcPr>
          <w:p>
            <w:pPr>
              <w:pStyle w:val="Normal"/>
              <w:widowControl/>
              <w:tabs>
                <w:tab w:val="clear" w:pos="708"/>
                <w:tab w:val="left" w:pos="0" w:leader="none"/>
              </w:tabs>
              <w:snapToGrid w:val="false"/>
              <w:jc w:val="both"/>
              <w:rPr/>
            </w:pPr>
            <w:r>
              <w:rPr/>
            </w:r>
          </w:p>
        </w:tc>
        <w:tc>
          <w:tcPr>
            <w:tcW w:w="1556" w:type="dxa"/>
            <w:tcBorders>
              <w:top w:val="single" w:sz="4" w:space="0" w:color="000000"/>
              <w:left w:val="single" w:sz="4" w:space="0" w:color="000000"/>
              <w:bottom w:val="single" w:sz="4" w:space="0" w:color="000000"/>
            </w:tcBorders>
          </w:tcPr>
          <w:p>
            <w:pPr>
              <w:pStyle w:val="Normal"/>
              <w:widowControl/>
              <w:tabs>
                <w:tab w:val="clear" w:pos="708"/>
                <w:tab w:val="left" w:pos="0" w:leader="none"/>
              </w:tabs>
              <w:snapToGrid w:val="false"/>
              <w:jc w:val="both"/>
              <w:rPr/>
            </w:pPr>
            <w:r>
              <w:rPr/>
            </w:r>
          </w:p>
        </w:tc>
        <w:tc>
          <w:tcPr>
            <w:tcW w:w="1337" w:type="dxa"/>
            <w:tcBorders>
              <w:top w:val="single" w:sz="4" w:space="0" w:color="000000"/>
              <w:left w:val="single" w:sz="4" w:space="0" w:color="000000"/>
              <w:bottom w:val="single" w:sz="4" w:space="0" w:color="000000"/>
            </w:tcBorders>
          </w:tcPr>
          <w:p>
            <w:pPr>
              <w:pStyle w:val="Normal"/>
              <w:widowControl/>
              <w:tabs>
                <w:tab w:val="clear" w:pos="708"/>
                <w:tab w:val="left" w:pos="0" w:leader="none"/>
              </w:tabs>
              <w:snapToGrid w:val="false"/>
              <w:jc w:val="both"/>
              <w:rPr/>
            </w:pPr>
            <w:r>
              <w:rPr/>
            </w:r>
          </w:p>
        </w:tc>
        <w:tc>
          <w:tcPr>
            <w:tcW w:w="1853" w:type="dxa"/>
            <w:tcBorders>
              <w:top w:val="single" w:sz="4" w:space="0" w:color="000000"/>
              <w:left w:val="single" w:sz="4" w:space="0" w:color="000000"/>
              <w:bottom w:val="single" w:sz="4" w:space="0" w:color="000000"/>
            </w:tcBorders>
          </w:tcPr>
          <w:p>
            <w:pPr>
              <w:pStyle w:val="Normal"/>
              <w:widowControl/>
              <w:tabs>
                <w:tab w:val="clear" w:pos="708"/>
                <w:tab w:val="left" w:pos="0" w:leader="none"/>
              </w:tabs>
              <w:snapToGrid w:val="false"/>
              <w:jc w:val="both"/>
              <w:rPr/>
            </w:pPr>
            <w:r>
              <w:rPr/>
            </w:r>
          </w:p>
        </w:tc>
        <w:tc>
          <w:tcPr>
            <w:tcW w:w="2559" w:type="dxa"/>
            <w:tcBorders>
              <w:top w:val="single" w:sz="4" w:space="0" w:color="000000"/>
              <w:left w:val="single" w:sz="4" w:space="0" w:color="000000"/>
              <w:bottom w:val="single" w:sz="4" w:space="0" w:color="000000"/>
              <w:right w:val="single" w:sz="4" w:space="0" w:color="000000"/>
            </w:tcBorders>
          </w:tcPr>
          <w:p>
            <w:pPr>
              <w:pStyle w:val="Normal"/>
              <w:widowControl/>
              <w:tabs>
                <w:tab w:val="clear" w:pos="708"/>
                <w:tab w:val="left" w:pos="0" w:leader="none"/>
              </w:tabs>
              <w:snapToGrid w:val="false"/>
              <w:jc w:val="both"/>
              <w:rPr/>
            </w:pPr>
            <w:r>
              <w:rPr/>
            </w:r>
          </w:p>
        </w:tc>
      </w:tr>
      <w:tr>
        <w:trPr>
          <w:trHeight w:val="454" w:hRule="atLeast"/>
        </w:trPr>
        <w:tc>
          <w:tcPr>
            <w:tcW w:w="1293" w:type="dxa"/>
            <w:tcBorders>
              <w:top w:val="single" w:sz="4" w:space="0" w:color="000000"/>
              <w:left w:val="single" w:sz="4" w:space="0" w:color="000000"/>
              <w:bottom w:val="single" w:sz="4" w:space="0" w:color="000000"/>
            </w:tcBorders>
          </w:tcPr>
          <w:p>
            <w:pPr>
              <w:pStyle w:val="Normal"/>
              <w:widowControl/>
              <w:tabs>
                <w:tab w:val="clear" w:pos="708"/>
                <w:tab w:val="left" w:pos="0" w:leader="none"/>
              </w:tabs>
              <w:snapToGrid w:val="false"/>
              <w:jc w:val="both"/>
              <w:rPr/>
            </w:pPr>
            <w:r>
              <w:rPr/>
            </w:r>
          </w:p>
        </w:tc>
        <w:tc>
          <w:tcPr>
            <w:tcW w:w="1556" w:type="dxa"/>
            <w:tcBorders>
              <w:top w:val="single" w:sz="4" w:space="0" w:color="000000"/>
              <w:left w:val="single" w:sz="4" w:space="0" w:color="000000"/>
              <w:bottom w:val="single" w:sz="4" w:space="0" w:color="000000"/>
            </w:tcBorders>
          </w:tcPr>
          <w:p>
            <w:pPr>
              <w:pStyle w:val="Normal"/>
              <w:widowControl/>
              <w:tabs>
                <w:tab w:val="clear" w:pos="708"/>
                <w:tab w:val="left" w:pos="0" w:leader="none"/>
              </w:tabs>
              <w:snapToGrid w:val="false"/>
              <w:jc w:val="both"/>
              <w:rPr/>
            </w:pPr>
            <w:r>
              <w:rPr/>
            </w:r>
          </w:p>
        </w:tc>
        <w:tc>
          <w:tcPr>
            <w:tcW w:w="1337" w:type="dxa"/>
            <w:tcBorders>
              <w:top w:val="single" w:sz="4" w:space="0" w:color="000000"/>
              <w:left w:val="single" w:sz="4" w:space="0" w:color="000000"/>
              <w:bottom w:val="single" w:sz="4" w:space="0" w:color="000000"/>
            </w:tcBorders>
          </w:tcPr>
          <w:p>
            <w:pPr>
              <w:pStyle w:val="Normal"/>
              <w:widowControl/>
              <w:tabs>
                <w:tab w:val="clear" w:pos="708"/>
                <w:tab w:val="left" w:pos="0" w:leader="none"/>
              </w:tabs>
              <w:snapToGrid w:val="false"/>
              <w:jc w:val="both"/>
              <w:rPr/>
            </w:pPr>
            <w:r>
              <w:rPr/>
            </w:r>
          </w:p>
        </w:tc>
        <w:tc>
          <w:tcPr>
            <w:tcW w:w="1853" w:type="dxa"/>
            <w:tcBorders>
              <w:top w:val="single" w:sz="4" w:space="0" w:color="000000"/>
              <w:left w:val="single" w:sz="4" w:space="0" w:color="000000"/>
              <w:bottom w:val="single" w:sz="4" w:space="0" w:color="000000"/>
            </w:tcBorders>
          </w:tcPr>
          <w:p>
            <w:pPr>
              <w:pStyle w:val="Normal"/>
              <w:widowControl/>
              <w:tabs>
                <w:tab w:val="clear" w:pos="708"/>
                <w:tab w:val="left" w:pos="0" w:leader="none"/>
              </w:tabs>
              <w:snapToGrid w:val="false"/>
              <w:jc w:val="both"/>
              <w:rPr/>
            </w:pPr>
            <w:r>
              <w:rPr/>
            </w:r>
          </w:p>
        </w:tc>
        <w:tc>
          <w:tcPr>
            <w:tcW w:w="2559" w:type="dxa"/>
            <w:tcBorders>
              <w:top w:val="single" w:sz="4" w:space="0" w:color="000000"/>
              <w:left w:val="single" w:sz="4" w:space="0" w:color="000000"/>
              <w:bottom w:val="single" w:sz="4" w:space="0" w:color="000000"/>
              <w:right w:val="single" w:sz="4" w:space="0" w:color="000000"/>
            </w:tcBorders>
          </w:tcPr>
          <w:p>
            <w:pPr>
              <w:pStyle w:val="Normal"/>
              <w:widowControl/>
              <w:tabs>
                <w:tab w:val="clear" w:pos="708"/>
                <w:tab w:val="left" w:pos="0" w:leader="none"/>
              </w:tabs>
              <w:snapToGrid w:val="false"/>
              <w:jc w:val="both"/>
              <w:rPr/>
            </w:pPr>
            <w:r>
              <w:rPr/>
            </w:r>
          </w:p>
        </w:tc>
      </w:tr>
    </w:tbl>
    <w:p>
      <w:pPr>
        <w:pStyle w:val="Normal"/>
        <w:widowControl/>
        <w:tabs>
          <w:tab w:val="clear" w:pos="708"/>
          <w:tab w:val="left" w:pos="0" w:leader="none"/>
        </w:tabs>
        <w:jc w:val="both"/>
        <w:rPr/>
      </w:pPr>
      <w:r>
        <w:rPr/>
        <w:t>e che per sé e, per quanto a conoscenza del dichiarante, per le persone sopra indicate, non sussistono cause di esclusione ex art. 94 c. 1 D.Lgs. 36/2023 e non sussistono cause di esclusione ex 94 c. 2 D.Lgs. 36/2023 in merito a decadenza, sospensione o divieto ex art. 67 D.Lgs. 159/2011 s.m.i. o tentativi di infiltrazione mafiosa ex art. 84, comma 4, del medesimo decreto;</w:t>
      </w:r>
    </w:p>
    <w:p>
      <w:pPr>
        <w:pStyle w:val="Normal"/>
        <w:widowControl/>
        <w:tabs>
          <w:tab w:val="clear" w:pos="708"/>
          <w:tab w:val="left" w:pos="0" w:leader="none"/>
        </w:tabs>
        <w:jc w:val="both"/>
        <w:rPr/>
      </w:pPr>
      <w:r>
        <w:rPr/>
      </w:r>
    </w:p>
    <w:p>
      <w:pPr>
        <w:pStyle w:val="Normal"/>
        <w:widowControl/>
        <w:tabs>
          <w:tab w:val="clear" w:pos="708"/>
          <w:tab w:val="left" w:pos="0" w:leader="none"/>
        </w:tabs>
        <w:jc w:val="both"/>
        <w:rPr/>
      </w:pPr>
      <w:r>
        <w:rPr/>
      </w:r>
    </w:p>
    <w:p>
      <w:pPr>
        <w:pStyle w:val="Normal"/>
        <w:widowControl/>
        <w:tabs>
          <w:tab w:val="clear" w:pos="708"/>
          <w:tab w:val="left" w:pos="0" w:leader="none"/>
          <w:tab w:val="left" w:pos="1134" w:leader="none"/>
        </w:tabs>
        <w:rPr>
          <w:color w:val="000000"/>
        </w:rPr>
      </w:pPr>
      <w:r>
        <w:rPr>
          <w:color w:val="000000"/>
        </w:rPr>
        <w:t>2) in merito alle cause di esclusione dalle gare d’appalto ex artt. 94, 95 D.Lgs. 36/2023:</w:t>
      </w:r>
    </w:p>
    <w:p>
      <w:pPr>
        <w:pStyle w:val="Normal"/>
        <w:widowControl/>
        <w:tabs>
          <w:tab w:val="clear" w:pos="708"/>
          <w:tab w:val="left" w:pos="0" w:leader="none"/>
          <w:tab w:val="left" w:pos="1134" w:leader="none"/>
        </w:tabs>
        <w:rPr>
          <w:b/>
          <w:color w:val="000000"/>
          <w:u w:val="single"/>
        </w:rPr>
      </w:pPr>
      <w:r>
        <w:rPr>
          <w:b/>
          <w:color w:val="000000"/>
          <w:u w:val="single"/>
        </w:rPr>
      </w:r>
    </w:p>
    <w:p>
      <w:pPr>
        <w:pStyle w:val="Normal"/>
        <w:widowControl/>
        <w:numPr>
          <w:ilvl w:val="0"/>
          <w:numId w:val="1"/>
        </w:numPr>
        <w:tabs>
          <w:tab w:val="clear" w:pos="708"/>
          <w:tab w:val="left" w:pos="993" w:leader="none"/>
        </w:tabs>
        <w:jc w:val="both"/>
        <w:rPr>
          <w:b/>
          <w:color w:val="000000"/>
          <w:u w:val="none"/>
          <w:shd w:fill="auto" w:val="clear"/>
        </w:rPr>
      </w:pPr>
      <w:r>
        <w:rPr>
          <w:color w:val="000000"/>
          <w:shd w:fill="auto" w:val="clear"/>
        </w:rPr>
        <w:t xml:space="preserve">(rif. art. 94, c. 5, lett. a) </w:t>
      </w:r>
      <w:r>
        <w:rPr>
          <w:rFonts w:eastAsia="Times New Roman" w:cs="Times New Roman"/>
          <w:bCs/>
          <w:color w:val="000000"/>
          <w:sz w:val="20"/>
          <w:szCs w:val="20"/>
          <w:shd w:fill="auto" w:val="clear"/>
          <w:lang w:val="it-IT" w:eastAsia="zh-CN" w:bidi="ar-SA"/>
        </w:rPr>
        <w:t xml:space="preserve">di non essere </w:t>
      </w:r>
      <w:r>
        <w:rPr>
          <w:rFonts w:eastAsia="Times New Roman" w:cs="Times New Roman"/>
          <w:b w:val="false"/>
          <w:bCs/>
          <w:i w:val="false"/>
          <w:caps w:val="false"/>
          <w:smallCaps w:val="false"/>
          <w:color w:val="000000"/>
          <w:spacing w:val="0"/>
          <w:sz w:val="20"/>
          <w:szCs w:val="20"/>
          <w:shd w:fill="auto" w:val="clear"/>
          <w:lang w:val="it-IT" w:eastAsia="zh-CN" w:bidi="ar-SA"/>
        </w:rPr>
        <w:t>destinatario di sanzione</w:t>
      </w:r>
      <w:r>
        <w:rPr>
          <w:rFonts w:eastAsia="Times New Roman" w:cs="Times New Roman"/>
          <w:b w:val="false"/>
          <w:bCs/>
          <w:i w:val="false"/>
          <w:caps w:val="false"/>
          <w:smallCaps w:val="false"/>
          <w:color w:val="000000"/>
          <w:spacing w:val="0"/>
          <w:sz w:val="20"/>
          <w:szCs w:val="20"/>
          <w:u w:val="none"/>
          <w:shd w:fill="auto" w:val="clear"/>
          <w:lang w:val="it-IT" w:eastAsia="zh-CN" w:bidi="ar-SA"/>
        </w:rPr>
        <w:t xml:space="preserve"> interdittiva ex </w:t>
      </w:r>
      <w:r>
        <w:fldChar w:fldCharType="begin"/>
      </w:r>
      <w:r>
        <w:rPr>
          <w:rStyle w:val="Hyperlink"/>
          <w:smallCaps w:val="false"/>
          <w:caps w:val="false"/>
          <w:sz w:val="20"/>
          <w:spacing w:val="0"/>
          <w:i w:val="false"/>
          <w:u w:val="none"/>
          <w:b w:val="false"/>
          <w:shd w:fill="auto" w:val="clear"/>
          <w:szCs w:val="20"/>
          <w:bCs/>
          <w:rFonts w:eastAsia="Times New Roman" w:cs="Times New Roman"/>
          <w:color w:val="000000"/>
          <w:lang w:val="it-IT" w:eastAsia="zh-CN" w:bidi="ar-SA"/>
        </w:rPr>
        <w:instrText xml:space="preserve"> HYPERLINK "https://www.bosettiegatti.eu/info/norme/statali/2001_0231.htm" \l "09"</w:instrText>
      </w:r>
      <w:r>
        <w:rPr>
          <w:rStyle w:val="Hyperlink"/>
          <w:smallCaps w:val="false"/>
          <w:caps w:val="false"/>
          <w:sz w:val="20"/>
          <w:spacing w:val="0"/>
          <w:i w:val="false"/>
          <w:u w:val="none"/>
          <w:b w:val="false"/>
          <w:shd w:fill="auto" w:val="clear"/>
          <w:szCs w:val="20"/>
          <w:bCs/>
          <w:rFonts w:eastAsia="Times New Roman" w:cs="Times New Roman"/>
          <w:color w:val="000000"/>
          <w:lang w:val="it-IT" w:eastAsia="zh-CN" w:bidi="ar-SA"/>
        </w:rPr>
        <w:fldChar w:fldCharType="separate"/>
      </w:r>
      <w:r>
        <w:rPr>
          <w:rStyle w:val="Hyperlink"/>
          <w:rFonts w:eastAsia="Times New Roman" w:cs="Times New Roman"/>
          <w:b w:val="false"/>
          <w:bCs/>
          <w:i w:val="false"/>
          <w:caps w:val="false"/>
          <w:smallCaps w:val="false"/>
          <w:color w:val="000000"/>
          <w:spacing w:val="0"/>
          <w:sz w:val="20"/>
          <w:szCs w:val="20"/>
          <w:u w:val="none"/>
          <w:shd w:fill="auto" w:val="clear"/>
          <w:lang w:val="it-IT" w:eastAsia="zh-CN" w:bidi="ar-SA"/>
        </w:rPr>
        <w:t>art. 9 c. 2 lett. c), D.Lgs. 231/2001</w:t>
      </w:r>
      <w:r>
        <w:rPr>
          <w:rStyle w:val="Hyperlink"/>
          <w:smallCaps w:val="false"/>
          <w:caps w:val="false"/>
          <w:sz w:val="20"/>
          <w:spacing w:val="0"/>
          <w:i w:val="false"/>
          <w:u w:val="none"/>
          <w:b w:val="false"/>
          <w:shd w:fill="auto" w:val="clear"/>
          <w:szCs w:val="20"/>
          <w:bCs/>
          <w:rFonts w:eastAsia="Times New Roman" w:cs="Times New Roman"/>
          <w:color w:val="000000"/>
          <w:lang w:val="it-IT" w:eastAsia="zh-CN" w:bidi="ar-SA"/>
        </w:rPr>
        <w:fldChar w:fldCharType="end"/>
      </w:r>
      <w:r>
        <w:rPr>
          <w:rFonts w:eastAsia="Times New Roman" w:cs="Times New Roman"/>
          <w:b w:val="false"/>
          <w:bCs/>
          <w:i w:val="false"/>
          <w:caps w:val="false"/>
          <w:smallCaps w:val="false"/>
          <w:color w:val="000000"/>
          <w:spacing w:val="0"/>
          <w:sz w:val="20"/>
          <w:szCs w:val="20"/>
          <w:u w:val="none"/>
          <w:shd w:fill="auto" w:val="clear"/>
          <w:lang w:val="it-IT" w:eastAsia="zh-CN" w:bidi="ar-SA"/>
        </w:rPr>
        <w:t xml:space="preserve"> o di altra sanzione che comporta il divieto di contrarre con la pubblica amministrazione, compresi i provvedimenti interdittivi ex </w:t>
      </w:r>
      <w:r>
        <w:fldChar w:fldCharType="begin"/>
      </w:r>
      <w:r>
        <w:rPr>
          <w:rStyle w:val="Hyperlink"/>
          <w:smallCaps w:val="false"/>
          <w:caps w:val="false"/>
          <w:sz w:val="20"/>
          <w:spacing w:val="0"/>
          <w:i w:val="false"/>
          <w:u w:val="none"/>
          <w:b w:val="false"/>
          <w:shd w:fill="auto" w:val="clear"/>
          <w:szCs w:val="20"/>
          <w:bCs/>
          <w:rFonts w:eastAsia="Times New Roman" w:cs="Times New Roman"/>
          <w:color w:val="000000"/>
          <w:lang w:val="it-IT" w:eastAsia="zh-CN" w:bidi="ar-SA"/>
        </w:rPr>
        <w:instrText xml:space="preserve"> HYPERLINK "https://www.bosettiegatti.eu/info/norme/statali/2008_0081.htm" \l "014"</w:instrText>
      </w:r>
      <w:r>
        <w:rPr>
          <w:rStyle w:val="Hyperlink"/>
          <w:smallCaps w:val="false"/>
          <w:caps w:val="false"/>
          <w:sz w:val="20"/>
          <w:spacing w:val="0"/>
          <w:i w:val="false"/>
          <w:u w:val="none"/>
          <w:b w:val="false"/>
          <w:shd w:fill="auto" w:val="clear"/>
          <w:szCs w:val="20"/>
          <w:bCs/>
          <w:rFonts w:eastAsia="Times New Roman" w:cs="Times New Roman"/>
          <w:color w:val="000000"/>
          <w:lang w:val="it-IT" w:eastAsia="zh-CN" w:bidi="ar-SA"/>
        </w:rPr>
        <w:fldChar w:fldCharType="separate"/>
      </w:r>
      <w:r>
        <w:rPr>
          <w:rStyle w:val="Hyperlink"/>
          <w:rFonts w:eastAsia="Times New Roman" w:cs="Times New Roman"/>
          <w:b w:val="false"/>
          <w:bCs/>
          <w:i w:val="false"/>
          <w:caps w:val="false"/>
          <w:smallCaps w:val="false"/>
          <w:color w:val="000000"/>
          <w:spacing w:val="0"/>
          <w:sz w:val="20"/>
          <w:szCs w:val="20"/>
          <w:u w:val="none"/>
          <w:shd w:fill="auto" w:val="clear"/>
          <w:lang w:val="it-IT" w:eastAsia="zh-CN" w:bidi="ar-SA"/>
        </w:rPr>
        <w:t xml:space="preserve">art. 14 </w:t>
      </w:r>
      <w:r>
        <w:rPr>
          <w:rStyle w:val="Hyperlink"/>
          <w:smallCaps w:val="false"/>
          <w:caps w:val="false"/>
          <w:sz w:val="20"/>
          <w:spacing w:val="0"/>
          <w:i w:val="false"/>
          <w:u w:val="none"/>
          <w:b w:val="false"/>
          <w:shd w:fill="auto" w:val="clear"/>
          <w:szCs w:val="20"/>
          <w:bCs/>
          <w:rFonts w:eastAsia="Times New Roman" w:cs="Times New Roman"/>
          <w:color w:val="000000"/>
          <w:lang w:val="it-IT" w:eastAsia="zh-CN" w:bidi="ar-SA"/>
        </w:rPr>
        <w:fldChar w:fldCharType="end"/>
      </w:r>
      <w:r>
        <w:rPr>
          <w:rFonts w:eastAsia="Times New Roman" w:cs="Times New Roman"/>
          <w:b w:val="false"/>
          <w:bCs/>
          <w:i w:val="false"/>
          <w:caps w:val="false"/>
          <w:smallCaps w:val="false"/>
          <w:color w:val="000000"/>
          <w:spacing w:val="0"/>
          <w:sz w:val="20"/>
          <w:szCs w:val="20"/>
          <w:u w:val="none"/>
          <w:shd w:fill="auto" w:val="clear"/>
          <w:lang w:val="it-IT" w:eastAsia="zh-CN" w:bidi="ar-SA"/>
        </w:rPr>
        <w:t>D.lgs. 81/2008</w:t>
      </w:r>
      <w:r>
        <w:rPr>
          <w:rFonts w:eastAsia="Times New Roman" w:cs="Times New Roman"/>
          <w:bCs/>
          <w:color w:val="000000"/>
          <w:sz w:val="20"/>
          <w:szCs w:val="20"/>
          <w:u w:val="none"/>
          <w:shd w:fill="auto" w:val="clear"/>
          <w:lang w:val="it-IT" w:eastAsia="zh-CN" w:bidi="ar-SA"/>
        </w:rPr>
        <w:t>;</w:t>
      </w:r>
    </w:p>
    <w:p>
      <w:pPr>
        <w:pStyle w:val="Normal"/>
        <w:widowControl/>
        <w:tabs>
          <w:tab w:val="clear" w:pos="708"/>
          <w:tab w:val="left" w:pos="0" w:leader="none"/>
          <w:tab w:val="left" w:pos="993" w:leader="none"/>
          <w:tab w:val="left" w:pos="1134" w:leader="none"/>
        </w:tabs>
        <w:ind w:left="1004" w:right="0"/>
        <w:jc w:val="both"/>
        <w:rPr>
          <w:b/>
          <w:color w:val="000000"/>
          <w:u w:val="none"/>
          <w:shd w:fill="auto" w:val="clear"/>
        </w:rPr>
      </w:pPr>
      <w:r>
        <w:rPr>
          <w:b/>
          <w:color w:val="000000"/>
          <w:u w:val="none"/>
          <w:shd w:fill="auto" w:val="clear"/>
        </w:rPr>
      </w:r>
    </w:p>
    <w:p>
      <w:pPr>
        <w:pStyle w:val="Normal"/>
        <w:widowControl/>
        <w:numPr>
          <w:ilvl w:val="0"/>
          <w:numId w:val="1"/>
        </w:numPr>
        <w:tabs>
          <w:tab w:val="clear" w:pos="708"/>
          <w:tab w:val="left" w:pos="284" w:leader="none"/>
          <w:tab w:val="left" w:pos="993" w:leader="none"/>
          <w:tab w:val="left" w:pos="1134" w:leader="none"/>
        </w:tabs>
        <w:jc w:val="both"/>
        <w:rPr/>
      </w:pPr>
      <w:r>
        <w:rPr>
          <w:color w:val="000000"/>
          <w:shd w:fill="auto" w:val="clear"/>
        </w:rPr>
        <w:t xml:space="preserve">(rif. art. 94, c. 5, lett. b) </w:t>
      </w:r>
      <w:r>
        <w:rPr>
          <w:bCs/>
          <w:color w:val="000000"/>
          <w:shd w:fill="auto" w:val="clear"/>
        </w:rPr>
        <w:t>di essere in regola con gli obblighi di certificazione/dichiarazione ex art. 17 L. 68/99;</w:t>
      </w:r>
    </w:p>
    <w:p>
      <w:pPr>
        <w:pStyle w:val="Normal"/>
        <w:widowControl/>
        <w:numPr>
          <w:ilvl w:val="0"/>
          <w:numId w:val="0"/>
        </w:numPr>
        <w:tabs>
          <w:tab w:val="clear" w:pos="708"/>
          <w:tab w:val="left" w:pos="284" w:leader="none"/>
          <w:tab w:val="left" w:pos="993" w:leader="none"/>
          <w:tab w:val="left" w:pos="1134" w:leader="none"/>
        </w:tabs>
        <w:ind w:hanging="0" w:left="1004" w:right="0"/>
        <w:jc w:val="both"/>
        <w:rPr/>
      </w:pPr>
      <w:r>
        <w:rPr/>
      </w:r>
    </w:p>
    <w:p>
      <w:pPr>
        <w:pStyle w:val="Normal"/>
        <w:widowControl/>
        <w:numPr>
          <w:ilvl w:val="0"/>
          <w:numId w:val="1"/>
        </w:numPr>
        <w:tabs>
          <w:tab w:val="clear" w:pos="708"/>
          <w:tab w:val="left" w:pos="284" w:leader="none"/>
          <w:tab w:val="left" w:pos="993" w:leader="none"/>
          <w:tab w:val="left" w:pos="1134" w:leader="none"/>
        </w:tabs>
        <w:jc w:val="both"/>
        <w:rPr/>
      </w:pPr>
      <w:r>
        <w:rPr>
          <w:bCs/>
          <w:color w:val="000000"/>
          <w:shd w:fill="auto" w:val="clear"/>
        </w:rPr>
        <w:t>(rif. art. 94, c. 5, lett. d) di non esser</w:t>
      </w:r>
      <w:r>
        <w:rPr>
          <w:rFonts w:eastAsia="Times New Roman" w:cs="Times New Roman"/>
          <w:bCs/>
          <w:color w:val="000000"/>
          <w:sz w:val="20"/>
          <w:szCs w:val="20"/>
          <w:shd w:fill="auto" w:val="clear"/>
          <w:lang w:val="it-IT" w:eastAsia="zh-CN" w:bidi="ar-SA"/>
        </w:rPr>
        <w:t>e</w:t>
      </w:r>
      <w:r>
        <w:rPr>
          <w:rFonts w:eastAsia="Times New Roman" w:cs="Times New Roman"/>
          <w:b w:val="false"/>
          <w:bCs/>
          <w:i w:val="false"/>
          <w:caps w:val="false"/>
          <w:smallCaps w:val="false"/>
          <w:color w:val="000000"/>
          <w:spacing w:val="0"/>
          <w:sz w:val="20"/>
          <w:szCs w:val="20"/>
          <w:shd w:fill="auto" w:val="clear"/>
          <w:lang w:val="it-IT" w:eastAsia="zh-CN" w:bidi="ar-SA"/>
        </w:rPr>
        <w:t xml:space="preserve"> sottoposto a liquidazione giudiziale, di non trovarsi in stato di liquidazione coatta, di concordato preventivo, e che nei propri confronti non è in corso un procedimento per l’accesso a una di tali procedure;</w:t>
      </w:r>
      <w:r>
        <w:rPr>
          <w:rStyle w:val="FootnoteReference"/>
          <w:rFonts w:eastAsia="Times New Roman" w:cs="Times New Roman"/>
          <w:b w:val="false"/>
          <w:bCs/>
          <w:i w:val="false"/>
          <w:caps w:val="false"/>
          <w:smallCaps w:val="false"/>
          <w:color w:val="000000"/>
          <w:spacing w:val="0"/>
          <w:sz w:val="20"/>
          <w:szCs w:val="20"/>
          <w:shd w:fill="auto" w:val="clear"/>
          <w:lang w:val="it-IT" w:eastAsia="zh-CN" w:bidi="ar-SA"/>
        </w:rPr>
        <w:footnoteReference w:id="6"/>
      </w:r>
    </w:p>
    <w:p>
      <w:pPr>
        <w:pStyle w:val="Normal"/>
        <w:widowControl/>
        <w:numPr>
          <w:ilvl w:val="0"/>
          <w:numId w:val="0"/>
        </w:numPr>
        <w:tabs>
          <w:tab w:val="clear" w:pos="708"/>
          <w:tab w:val="left" w:pos="284" w:leader="none"/>
          <w:tab w:val="left" w:pos="993" w:leader="none"/>
          <w:tab w:val="left" w:pos="1134" w:leader="none"/>
        </w:tabs>
        <w:ind w:hanging="0" w:left="1004" w:right="0"/>
        <w:jc w:val="both"/>
        <w:rPr/>
      </w:pPr>
      <w:r>
        <w:rPr/>
      </w:r>
    </w:p>
    <w:p>
      <w:pPr>
        <w:pStyle w:val="Normal"/>
        <w:widowControl/>
        <w:numPr>
          <w:ilvl w:val="0"/>
          <w:numId w:val="1"/>
        </w:numPr>
        <w:tabs>
          <w:tab w:val="clear" w:pos="708"/>
          <w:tab w:val="left" w:pos="284" w:leader="none"/>
          <w:tab w:val="left" w:pos="993" w:leader="none"/>
          <w:tab w:val="left" w:pos="1134" w:leader="none"/>
        </w:tabs>
        <w:jc w:val="both"/>
        <w:rPr/>
      </w:pPr>
      <w:r>
        <w:rPr>
          <w:rFonts w:eastAsia="Times New Roman" w:cs="Times New Roman"/>
          <w:b w:val="false"/>
          <w:bCs/>
          <w:i w:val="false"/>
          <w:caps w:val="false"/>
          <w:smallCaps w:val="false"/>
          <w:color w:val="000000"/>
          <w:spacing w:val="0"/>
          <w:sz w:val="20"/>
          <w:szCs w:val="20"/>
          <w:shd w:fill="auto" w:val="clear"/>
          <w:lang w:val="it-IT" w:eastAsia="zh-CN" w:bidi="ar-SA"/>
        </w:rPr>
        <w:t>(rif. art. 94, c. 5, lett. e) che nel casellario informatico tenuto dall'ANAC non sono presenti iscrizioni per aver presentato false dichiarazioni o falsa documentazione nelle procedure di gara e negli affidamenti di subappalti;</w:t>
      </w:r>
    </w:p>
    <w:p>
      <w:pPr>
        <w:pStyle w:val="Normal"/>
        <w:widowControl/>
        <w:numPr>
          <w:ilvl w:val="0"/>
          <w:numId w:val="0"/>
        </w:numPr>
        <w:tabs>
          <w:tab w:val="clear" w:pos="708"/>
          <w:tab w:val="left" w:pos="284" w:leader="none"/>
          <w:tab w:val="left" w:pos="993" w:leader="none"/>
          <w:tab w:val="left" w:pos="1134" w:leader="none"/>
        </w:tabs>
        <w:ind w:hanging="0" w:left="1004" w:right="0"/>
        <w:jc w:val="both"/>
        <w:rPr/>
      </w:pPr>
      <w:r>
        <w:rPr/>
      </w:r>
    </w:p>
    <w:p>
      <w:pPr>
        <w:pStyle w:val="Normal"/>
        <w:widowControl/>
        <w:numPr>
          <w:ilvl w:val="0"/>
          <w:numId w:val="1"/>
        </w:numPr>
        <w:tabs>
          <w:tab w:val="clear" w:pos="708"/>
          <w:tab w:val="left" w:pos="993" w:leader="none"/>
        </w:tabs>
        <w:jc w:val="both"/>
        <w:rPr>
          <w:bCs/>
          <w:color w:val="000000"/>
          <w:u w:val="single"/>
        </w:rPr>
      </w:pPr>
      <w:r>
        <w:rPr>
          <w:rFonts w:eastAsia="Times New Roman" w:cs="Times New Roman"/>
          <w:b w:val="false"/>
          <w:bCs/>
          <w:i w:val="false"/>
          <w:caps w:val="false"/>
          <w:smallCaps w:val="false"/>
          <w:color w:val="000000"/>
          <w:spacing w:val="0"/>
          <w:sz w:val="20"/>
          <w:szCs w:val="20"/>
          <w:shd w:fill="auto" w:val="clear"/>
          <w:lang w:val="it-IT" w:eastAsia="zh-CN" w:bidi="ar-SA"/>
        </w:rPr>
        <w:t>(rif. art. 94, c. 5, lett. f) che nel casellario informatico tenuto dall'Osservatorio dell'ANAC non sono presenti iscrizioni per aver presentato false dichiarazioni o falsa documentazione ai fini del rilascio di attestazioni di qualificazione;</w:t>
      </w:r>
    </w:p>
    <w:p>
      <w:pPr>
        <w:pStyle w:val="Normal"/>
        <w:widowControl/>
        <w:tabs>
          <w:tab w:val="clear" w:pos="708"/>
          <w:tab w:val="left" w:pos="0" w:leader="none"/>
          <w:tab w:val="left" w:pos="993" w:leader="none"/>
          <w:tab w:val="left" w:pos="1134" w:leader="none"/>
        </w:tabs>
        <w:ind w:left="1004" w:right="0"/>
        <w:jc w:val="both"/>
        <w:rPr>
          <w:bCs/>
          <w:color w:val="000000"/>
          <w:u w:val="single"/>
        </w:rPr>
      </w:pPr>
      <w:r>
        <w:rPr>
          <w:bCs/>
          <w:color w:val="000000"/>
          <w:u w:val="single"/>
        </w:rPr>
      </w:r>
    </w:p>
    <w:p>
      <w:pPr>
        <w:pStyle w:val="Normal"/>
        <w:widowControl/>
        <w:numPr>
          <w:ilvl w:val="0"/>
          <w:numId w:val="1"/>
        </w:numPr>
        <w:tabs>
          <w:tab w:val="clear" w:pos="708"/>
          <w:tab w:val="left" w:pos="0" w:leader="none"/>
          <w:tab w:val="left" w:pos="284" w:leader="none"/>
          <w:tab w:val="left" w:pos="993" w:leader="none"/>
        </w:tabs>
        <w:jc w:val="both"/>
        <w:rPr>
          <w:bCs/>
        </w:rPr>
      </w:pPr>
      <w:r>
        <w:rPr>
          <w:bCs/>
        </w:rPr>
        <w:t>(</w:t>
      </w:r>
      <w:r>
        <w:rPr>
          <w:rFonts w:eastAsia="Times New Roman" w:cs="Times New Roman"/>
          <w:b w:val="false"/>
          <w:bCs/>
          <w:i w:val="false"/>
          <w:caps w:val="false"/>
          <w:smallCaps w:val="false"/>
          <w:color w:val="000000"/>
          <w:spacing w:val="0"/>
          <w:sz w:val="20"/>
          <w:szCs w:val="20"/>
          <w:shd w:fill="auto" w:val="clear"/>
          <w:lang w:val="it-IT" w:eastAsia="zh-CN" w:bidi="ar-SA"/>
        </w:rPr>
        <w:t xml:space="preserve">rif. art. 94, c. 6 e allegato II.10), di non avere commesso violazioni gravi, </w:t>
      </w:r>
      <w:r>
        <w:rPr>
          <w:rFonts w:eastAsia="Times New Roman" w:cs="Times New Roman"/>
          <w:b w:val="false"/>
          <w:bCs/>
          <w:i w:val="false"/>
          <w:caps w:val="false"/>
          <w:smallCaps w:val="false"/>
          <w:color w:val="000000"/>
          <w:spacing w:val="0"/>
          <w:sz w:val="20"/>
          <w:szCs w:val="20"/>
          <w:u w:val="single"/>
          <w:shd w:fill="auto" w:val="clear"/>
          <w:lang w:val="it-IT" w:eastAsia="zh-CN" w:bidi="ar-SA"/>
        </w:rPr>
        <w:t>definitivamente accertate</w:t>
      </w:r>
      <w:r>
        <w:rPr>
          <w:rFonts w:eastAsia="Times New Roman" w:cs="Times New Roman"/>
          <w:b w:val="false"/>
          <w:bCs/>
          <w:i w:val="false"/>
          <w:caps w:val="false"/>
          <w:smallCaps w:val="false"/>
          <w:color w:val="000000"/>
          <w:spacing w:val="0"/>
          <w:sz w:val="20"/>
          <w:szCs w:val="20"/>
          <w:shd w:fill="auto" w:val="clear"/>
          <w:lang w:val="it-IT" w:eastAsia="zh-CN" w:bidi="ar-SA"/>
        </w:rPr>
        <w:t>, degli obblighi relativi al pagamento delle imposte e tasse o dei contributi previdenziali, secondo la legislazione italiana o quella dello Stato in cui è stabilito, per le quali non ha ottemperato ai propri obblighi pagando o impegnandosi in modo vincolante a pagare quanto dovuto, compresi eventuali interessi o sanzioni;</w:t>
      </w:r>
    </w:p>
    <w:p>
      <w:pPr>
        <w:pStyle w:val="Normal"/>
        <w:widowControl/>
        <w:tabs>
          <w:tab w:val="clear" w:pos="708"/>
          <w:tab w:val="left" w:pos="993" w:leader="none"/>
        </w:tabs>
        <w:ind w:left="1004" w:right="0"/>
        <w:jc w:val="both"/>
        <w:rPr>
          <w:bCs/>
        </w:rPr>
      </w:pPr>
      <w:r>
        <w:rPr>
          <w:bCs/>
        </w:rPr>
      </w:r>
    </w:p>
    <w:p>
      <w:pPr>
        <w:pStyle w:val="Normal"/>
        <w:widowControl/>
        <w:numPr>
          <w:ilvl w:val="0"/>
          <w:numId w:val="1"/>
        </w:numPr>
        <w:tabs>
          <w:tab w:val="clear" w:pos="708"/>
          <w:tab w:val="left" w:pos="993" w:leader="none"/>
        </w:tabs>
        <w:jc w:val="both"/>
        <w:rPr>
          <w:rFonts w:eastAsia="Times New Roman" w:cs="Times New Roman"/>
          <w:color w:val="auto"/>
          <w:sz w:val="20"/>
          <w:szCs w:val="20"/>
          <w:lang w:val="it-IT" w:eastAsia="zh-CN" w:bidi="ar-SA"/>
        </w:rPr>
      </w:pPr>
      <w:r>
        <w:rPr/>
        <w:t>(</w:t>
      </w:r>
      <w:r>
        <w:rPr>
          <w:rFonts w:eastAsia="Times New Roman" w:cs="Times New Roman"/>
          <w:b w:val="false"/>
          <w:bCs/>
          <w:i w:val="false"/>
          <w:caps w:val="false"/>
          <w:smallCaps w:val="false"/>
          <w:color w:val="000000"/>
          <w:spacing w:val="0"/>
          <w:sz w:val="20"/>
          <w:szCs w:val="20"/>
          <w:shd w:fill="auto" w:val="clear"/>
          <w:lang w:val="it-IT" w:eastAsia="zh-CN" w:bidi="ar-SA"/>
        </w:rPr>
        <w:t>rif. art. 95, c. 1, lett. a</w:t>
      </w:r>
      <w:r>
        <w:rPr/>
        <w:t>) di non avere co</w:t>
      </w:r>
      <w:r>
        <w:rPr>
          <w:rFonts w:eastAsia="Times New Roman" w:cs="Times New Roman"/>
          <w:color w:val="auto"/>
          <w:sz w:val="20"/>
          <w:szCs w:val="20"/>
          <w:lang w:val="it-IT" w:eastAsia="zh-CN" w:bidi="ar-SA"/>
        </w:rPr>
        <w:t xml:space="preserve">mmesso </w:t>
      </w:r>
      <w:r>
        <w:rPr>
          <w:rFonts w:eastAsia="Times New Roman" w:cs="Times New Roman"/>
          <w:b w:val="false"/>
          <w:i w:val="false"/>
          <w:caps w:val="false"/>
          <w:smallCaps w:val="false"/>
          <w:color w:val="auto"/>
          <w:spacing w:val="0"/>
          <w:sz w:val="20"/>
          <w:szCs w:val="20"/>
          <w:lang w:val="it-IT" w:eastAsia="zh-CN" w:bidi="ar-SA"/>
        </w:rPr>
        <w:t>gravi infrazioni alle norme in materia di salute e di sicurezza sul lavoro nonché agli obblighi in materia ambientale, sociale e del lavoro stabiliti dalla normativa europea e naziona</w:t>
      </w:r>
      <w:r>
        <w:rPr>
          <w:rFonts w:eastAsia="Times New Roman" w:cs="Times New Roman"/>
          <w:b w:val="false"/>
          <w:i w:val="false"/>
          <w:caps w:val="false"/>
          <w:smallCaps w:val="false"/>
          <w:color w:val="auto"/>
          <w:spacing w:val="0"/>
          <w:sz w:val="20"/>
          <w:szCs w:val="20"/>
          <w:u w:val="none"/>
          <w:lang w:val="it-IT" w:eastAsia="zh-CN" w:bidi="ar-SA"/>
        </w:rPr>
        <w:t xml:space="preserve">le, dai contratti collettivi o dalle disposizioni internazionali ex </w:t>
      </w:r>
      <w:hyperlink r:id="rId2" w:tgtFrame="_blank">
        <w:r>
          <w:rPr>
            <w:rStyle w:val="Hyperlink"/>
            <w:rFonts w:eastAsia="Times New Roman" w:cs="Times New Roman"/>
            <w:b w:val="false"/>
            <w:i w:val="false"/>
            <w:caps w:val="false"/>
            <w:smallCaps w:val="false"/>
            <w:color w:val="auto"/>
            <w:spacing w:val="0"/>
            <w:sz w:val="20"/>
            <w:szCs w:val="20"/>
            <w:u w:val="none"/>
            <w:lang w:val="it-IT" w:eastAsia="zh-CN" w:bidi="ar-SA"/>
          </w:rPr>
          <w:t>allegato X direttiva 2014/24/UE del Parlamento europeo e del Consiglio del 26 febbraio 2014</w:t>
        </w:r>
      </w:hyperlink>
      <w:r>
        <w:rPr>
          <w:rFonts w:eastAsia="Times New Roman" w:cs="Times New Roman"/>
          <w:color w:val="auto"/>
          <w:sz w:val="20"/>
          <w:szCs w:val="20"/>
          <w:u w:val="none"/>
          <w:lang w:val="it-IT" w:eastAsia="zh-CN" w:bidi="ar-SA"/>
        </w:rPr>
        <w:t>;</w:t>
      </w:r>
    </w:p>
    <w:p>
      <w:pPr>
        <w:pStyle w:val="Normal"/>
        <w:widowControl/>
        <w:numPr>
          <w:ilvl w:val="0"/>
          <w:numId w:val="0"/>
        </w:numPr>
        <w:tabs>
          <w:tab w:val="clear" w:pos="708"/>
          <w:tab w:val="left" w:pos="993" w:leader="none"/>
        </w:tabs>
        <w:ind w:hanging="0" w:left="1004" w:right="0"/>
        <w:jc w:val="both"/>
        <w:rPr>
          <w:rFonts w:eastAsia="Times New Roman" w:cs="Times New Roman"/>
          <w:color w:val="auto"/>
          <w:sz w:val="20"/>
          <w:szCs w:val="20"/>
          <w:lang w:val="it-IT" w:eastAsia="zh-CN" w:bidi="ar-SA"/>
        </w:rPr>
      </w:pPr>
      <w:r>
        <w:rPr>
          <w:rFonts w:eastAsia="Times New Roman" w:cs="Times New Roman"/>
          <w:color w:val="auto"/>
          <w:sz w:val="20"/>
          <w:szCs w:val="20"/>
          <w:lang w:val="it-IT" w:eastAsia="zh-CN" w:bidi="ar-SA"/>
        </w:rPr>
      </w:r>
    </w:p>
    <w:p>
      <w:pPr>
        <w:pStyle w:val="Normal"/>
        <w:widowControl/>
        <w:numPr>
          <w:ilvl w:val="0"/>
          <w:numId w:val="1"/>
        </w:numPr>
        <w:tabs>
          <w:tab w:val="clear" w:pos="708"/>
          <w:tab w:val="left" w:pos="993" w:leader="none"/>
        </w:tabs>
        <w:jc w:val="both"/>
        <w:rPr/>
      </w:pPr>
      <w:r>
        <w:rPr>
          <w:rFonts w:eastAsia="Times New Roman" w:cs="Times New Roman"/>
          <w:color w:val="auto"/>
          <w:sz w:val="20"/>
          <w:szCs w:val="20"/>
          <w:lang w:val="it-IT" w:eastAsia="zh-CN" w:bidi="ar-SA"/>
        </w:rPr>
        <w:t>(</w:t>
      </w:r>
      <w:r>
        <w:rPr>
          <w:rFonts w:eastAsia="Times New Roman" w:cs="Times New Roman"/>
          <w:b w:val="false"/>
          <w:bCs/>
          <w:i w:val="false"/>
          <w:caps w:val="false"/>
          <w:smallCaps w:val="false"/>
          <w:color w:val="000000"/>
          <w:spacing w:val="0"/>
          <w:sz w:val="20"/>
          <w:szCs w:val="20"/>
          <w:shd w:fill="auto" w:val="clear"/>
          <w:lang w:val="it-IT" w:eastAsia="zh-CN" w:bidi="ar-SA"/>
        </w:rPr>
        <w:t>rif. art. 95, c. 1, lett. b/c</w:t>
      </w:r>
      <w:r>
        <w:rPr>
          <w:rFonts w:eastAsia="Times New Roman" w:cs="Times New Roman"/>
          <w:color w:val="auto"/>
          <w:sz w:val="20"/>
          <w:szCs w:val="20"/>
          <w:lang w:val="it-IT" w:eastAsia="zh-CN" w:bidi="ar-SA"/>
        </w:rPr>
        <w:t>) di non trovarsi in una condizione di conflitto di interesse ex art. 16 D.Lgs. 36/2023 e di non essere stato</w:t>
      </w:r>
      <w:r>
        <w:rPr>
          <w:rFonts w:eastAsia="Times New Roman" w:cs="Times New Roman"/>
          <w:caps w:val="false"/>
          <w:smallCaps w:val="false"/>
          <w:color w:val="000000"/>
          <w:spacing w:val="0"/>
          <w:sz w:val="20"/>
          <w:szCs w:val="20"/>
          <w:lang w:val="it-IT" w:eastAsia="zh-CN" w:bidi="ar-SA"/>
        </w:rPr>
        <w:t xml:space="preserve"> pr</w:t>
      </w:r>
      <w:r>
        <w:rPr>
          <w:rFonts w:eastAsia="Times New Roman" w:cs="Times New Roman"/>
          <w:caps w:val="false"/>
          <w:smallCaps w:val="false"/>
          <w:color w:val="auto"/>
          <w:spacing w:val="0"/>
          <w:sz w:val="20"/>
          <w:szCs w:val="20"/>
          <w:lang w:val="it-IT" w:eastAsia="zh-CN" w:bidi="ar-SA"/>
        </w:rPr>
        <w:t>ecedentemente</w:t>
      </w:r>
      <w:r>
        <w:rPr>
          <w:rFonts w:eastAsia="Times New Roman" w:cs="Times New Roman"/>
          <w:b w:val="false"/>
          <w:i w:val="false"/>
          <w:caps w:val="false"/>
          <w:smallCaps w:val="false"/>
          <w:color w:val="auto"/>
          <w:spacing w:val="0"/>
          <w:sz w:val="20"/>
          <w:szCs w:val="20"/>
          <w:lang w:val="it-IT" w:eastAsia="zh-CN" w:bidi="ar-SA"/>
        </w:rPr>
        <w:t xml:space="preserve"> coinvolto nella preparazione della procedura di gara e nella stesura dei documenti posti a base della stessa</w:t>
      </w:r>
      <w:r>
        <w:rPr>
          <w:rFonts w:eastAsia="Times New Roman" w:cs="Times New Roman"/>
          <w:color w:val="auto"/>
          <w:sz w:val="20"/>
          <w:szCs w:val="20"/>
          <w:lang w:val="it-IT" w:eastAsia="zh-CN" w:bidi="ar-SA"/>
        </w:rPr>
        <w:t>;</w:t>
      </w:r>
      <w:r>
        <w:rPr>
          <w:rStyle w:val="FootnoteReference"/>
          <w:rFonts w:eastAsia="Times New Roman" w:cs="Times New Roman"/>
          <w:color w:val="auto"/>
          <w:sz w:val="20"/>
          <w:szCs w:val="20"/>
          <w:lang w:val="it-IT" w:eastAsia="zh-CN" w:bidi="ar-SA"/>
        </w:rPr>
        <w:footnoteReference w:id="7"/>
      </w:r>
    </w:p>
    <w:p>
      <w:pPr>
        <w:pStyle w:val="Normal"/>
        <w:widowControl/>
        <w:tabs>
          <w:tab w:val="clear" w:pos="708"/>
          <w:tab w:val="left" w:pos="993" w:leader="none"/>
        </w:tabs>
        <w:jc w:val="both"/>
        <w:rPr/>
      </w:pPr>
      <w:r>
        <w:rPr/>
      </w:r>
    </w:p>
    <w:p>
      <w:pPr>
        <w:pStyle w:val="Normal"/>
        <w:widowControl/>
        <w:numPr>
          <w:ilvl w:val="0"/>
          <w:numId w:val="1"/>
        </w:numPr>
        <w:tabs>
          <w:tab w:val="clear" w:pos="708"/>
          <w:tab w:val="left" w:pos="993" w:leader="none"/>
        </w:tabs>
        <w:jc w:val="both"/>
        <w:rPr/>
      </w:pPr>
      <w:r>
        <w:rPr/>
        <w:t xml:space="preserve">(rif. c.5 </w:t>
      </w:r>
      <w:r>
        <w:rPr>
          <w:rFonts w:eastAsia="Times New Roman" w:cs="Times New Roman"/>
          <w:b w:val="false"/>
          <w:bCs/>
          <w:i w:val="false"/>
          <w:caps w:val="false"/>
          <w:smallCaps w:val="false"/>
          <w:color w:val="000000"/>
          <w:spacing w:val="0"/>
          <w:sz w:val="20"/>
          <w:szCs w:val="20"/>
          <w:shd w:fill="auto" w:val="clear"/>
          <w:lang w:val="it-IT" w:eastAsia="zh-CN" w:bidi="ar-SA"/>
        </w:rPr>
        <w:t>95, c. 1, lett. e) di non avere commesso gravi illeciti professionali ex art. 98 D.Lgs. 36/2023;</w:t>
      </w:r>
      <w:r>
        <w:rPr>
          <w:rStyle w:val="FootnoteReference"/>
          <w:rFonts w:eastAsia="Times New Roman" w:cs="Times New Roman"/>
          <w:b w:val="false"/>
          <w:bCs/>
          <w:i w:val="false"/>
          <w:caps w:val="false"/>
          <w:smallCaps w:val="false"/>
          <w:color w:val="000000"/>
          <w:spacing w:val="0"/>
          <w:sz w:val="20"/>
          <w:szCs w:val="20"/>
          <w:shd w:fill="auto" w:val="clear"/>
          <w:lang w:val="it-IT" w:eastAsia="zh-CN" w:bidi="ar-SA"/>
        </w:rPr>
        <w:footnoteReference w:id="8"/>
      </w:r>
    </w:p>
    <w:p>
      <w:pPr>
        <w:pStyle w:val="Normal"/>
        <w:widowControl/>
        <w:numPr>
          <w:ilvl w:val="0"/>
          <w:numId w:val="0"/>
        </w:numPr>
        <w:tabs>
          <w:tab w:val="clear" w:pos="708"/>
          <w:tab w:val="left" w:pos="993" w:leader="none"/>
        </w:tabs>
        <w:ind w:hanging="0" w:left="1004" w:right="0"/>
        <w:jc w:val="both"/>
        <w:rPr/>
      </w:pPr>
      <w:r>
        <w:rPr/>
      </w:r>
    </w:p>
    <w:p>
      <w:pPr>
        <w:pStyle w:val="Normal"/>
        <w:widowControl/>
        <w:numPr>
          <w:ilvl w:val="0"/>
          <w:numId w:val="1"/>
        </w:numPr>
        <w:tabs>
          <w:tab w:val="clear" w:pos="708"/>
          <w:tab w:val="left" w:pos="993" w:leader="none"/>
        </w:tabs>
        <w:jc w:val="both"/>
        <w:rPr/>
      </w:pPr>
      <w:r>
        <w:rPr>
          <w:rFonts w:eastAsia="Times New Roman" w:cs="Times New Roman"/>
          <w:b w:val="false"/>
          <w:bCs/>
          <w:i w:val="false"/>
          <w:caps w:val="false"/>
          <w:smallCaps w:val="false"/>
          <w:color w:val="000000"/>
          <w:spacing w:val="0"/>
          <w:sz w:val="20"/>
          <w:szCs w:val="20"/>
          <w:shd w:fill="auto" w:val="clear"/>
          <w:lang w:val="it-IT" w:eastAsia="zh-CN" w:bidi="ar-SA"/>
        </w:rPr>
        <w:t xml:space="preserve">(rif. c.5 95, c. 2 e allegato II.10) di non avere commesso gravi violazioni </w:t>
      </w:r>
      <w:r>
        <w:rPr>
          <w:rFonts w:eastAsia="Times New Roman" w:cs="Times New Roman"/>
          <w:b w:val="false"/>
          <w:bCs/>
          <w:i w:val="false"/>
          <w:caps w:val="false"/>
          <w:smallCaps w:val="false"/>
          <w:color w:val="000000"/>
          <w:spacing w:val="0"/>
          <w:sz w:val="20"/>
          <w:szCs w:val="20"/>
          <w:u w:val="single"/>
          <w:shd w:fill="auto" w:val="clear"/>
          <w:lang w:val="it-IT" w:eastAsia="zh-CN" w:bidi="ar-SA"/>
        </w:rPr>
        <w:t>NON definitivamente accertate</w:t>
      </w:r>
      <w:r>
        <w:rPr>
          <w:rFonts w:eastAsia="Times New Roman" w:cs="Times New Roman"/>
          <w:b w:val="false"/>
          <w:bCs/>
          <w:i w:val="false"/>
          <w:caps w:val="false"/>
          <w:smallCaps w:val="false"/>
          <w:color w:val="000000"/>
          <w:spacing w:val="0"/>
          <w:sz w:val="20"/>
          <w:szCs w:val="20"/>
          <w:shd w:fill="auto" w:val="clear"/>
          <w:lang w:val="it-IT" w:eastAsia="zh-CN" w:bidi="ar-SA"/>
        </w:rPr>
        <w:t xml:space="preserve"> agli obblighi relativi al pagamento di imposte e tasse o contributi previdenziali per le quali non ha ottemperato ai propri obblighi pagando o impegnandosi in modo vincolante a pagare quanto dovuto, compresi eventuali interessi o sanzioni;</w:t>
      </w:r>
    </w:p>
    <w:p>
      <w:pPr>
        <w:pStyle w:val="Normal"/>
        <w:widowControl/>
        <w:tabs>
          <w:tab w:val="clear" w:pos="708"/>
          <w:tab w:val="left" w:pos="0" w:leader="none"/>
          <w:tab w:val="left" w:pos="993" w:leader="none"/>
        </w:tabs>
        <w:ind w:left="1004" w:right="0"/>
        <w:jc w:val="both"/>
        <w:rPr/>
      </w:pPr>
      <w:r>
        <w:rPr/>
      </w:r>
    </w:p>
    <w:p>
      <w:pPr>
        <w:pStyle w:val="Normal"/>
        <w:jc w:val="both"/>
        <w:rPr/>
      </w:pPr>
      <w:r>
        <w:rPr>
          <w:rFonts w:cs="Times New Roman"/>
          <w:sz w:val="20"/>
          <w:shd w:fill="auto" w:val="clear"/>
        </w:rPr>
        <w:t>3)</w:t>
      </w:r>
      <w:r>
        <w:rPr/>
        <w:t xml:space="preserve"> con riferimento all’eventuale riduzione dell’importo garanzie ex art. 106 D.Lgs. 36/2023 l'operatore economico è (barrare l’opzione che corrisponde al vero e completare se richiesto):</w:t>
      </w:r>
      <w:r>
        <w:rPr>
          <w:lang w:val="it-IT" w:eastAsia="zh-CN" w:bidi="ar-SA"/>
        </w:rPr>
        <w:t xml:space="preserve">       </w:t>
      </w:r>
    </w:p>
    <w:p>
      <w:pPr>
        <w:pStyle w:val="Normal"/>
        <w:jc w:val="both"/>
        <w:rPr/>
      </w:pPr>
      <w:r>
        <w:rPr>
          <w:lang w:val="it-IT" w:eastAsia="zh-CN" w:bidi="ar-SA"/>
        </w:rPr>
        <w:t xml:space="preserve">   </w:t>
      </w:r>
      <w:r>
        <w:rPr>
          <w:rFonts w:eastAsia="Times New Roman" w:cs="Times New Roman"/>
          <w:b/>
          <w:bCs/>
          <w:color w:val="000000"/>
          <w:spacing w:val="-2"/>
          <w:sz w:val="20"/>
          <w:szCs w:val="20"/>
          <w:shd w:fill="auto" w:val="clear"/>
          <w:lang w:val="it-IT" w:eastAsia="zh-CN" w:bidi="ar-SA"/>
        </w:rPr>
        <w:t xml:space="preserve">                                                                            </w:t>
      </w:r>
    </w:p>
    <w:p>
      <w:pPr>
        <w:pStyle w:val="Normal"/>
        <w:widowControl/>
        <w:tabs>
          <w:tab w:val="clear" w:pos="708"/>
          <w:tab w:val="left" w:pos="284" w:leader="none"/>
        </w:tabs>
        <w:ind w:hanging="454" w:left="907" w:right="0"/>
        <w:jc w:val="both"/>
        <w:rPr/>
      </w:pPr>
      <w:r>
        <w:rPr>
          <w:rFonts w:eastAsia="Times New Roman" w:cs="Times New Roman"/>
          <w:b/>
          <w:bCs/>
          <w:color w:val="000000"/>
          <w:spacing w:val="-2"/>
          <w:sz w:val="20"/>
          <w:szCs w:val="20"/>
          <w:shd w:fill="auto" w:val="clear"/>
          <w:lang w:val="it-IT" w:eastAsia="zh-CN" w:bidi="ar-SA"/>
        </w:rPr>
        <w:t>O</w:t>
        <w:tab/>
      </w:r>
      <w:r>
        <w:rPr>
          <w:rFonts w:eastAsia="Times New Roman" w:cs="Times New Roman"/>
          <w:bCs/>
          <w:color w:val="000000"/>
          <w:spacing w:val="-2"/>
          <w:sz w:val="20"/>
          <w:szCs w:val="20"/>
          <w:shd w:fill="auto" w:val="clear"/>
          <w:lang w:val="it-IT" w:eastAsia="zh-CN" w:bidi="ar-SA"/>
        </w:rPr>
        <w:t xml:space="preserve">una </w:t>
      </w:r>
      <w:r>
        <w:rPr>
          <w:rFonts w:eastAsia="Times New Roman" w:cs="Times New Roman"/>
          <w:b/>
          <w:bCs/>
          <w:color w:val="000000"/>
          <w:spacing w:val="-2"/>
          <w:sz w:val="20"/>
          <w:szCs w:val="20"/>
          <w:shd w:fill="auto" w:val="clear"/>
          <w:lang w:val="it-IT" w:eastAsia="zh-CN" w:bidi="ar-SA"/>
        </w:rPr>
        <w:t>microimpresa</w:t>
      </w:r>
      <w:r>
        <w:rPr>
          <w:rFonts w:eastAsia="Times New Roman" w:cs="Times New Roman"/>
          <w:bCs/>
          <w:color w:val="000000"/>
          <w:spacing w:val="-2"/>
          <w:sz w:val="20"/>
          <w:szCs w:val="20"/>
          <w:shd w:fill="auto" w:val="clear"/>
          <w:lang w:val="it-IT" w:eastAsia="zh-CN" w:bidi="ar-SA"/>
        </w:rPr>
        <w:t xml:space="preserve">, in quanto </w:t>
      </w:r>
      <w:r>
        <w:rPr>
          <w:rStyle w:val="DeltaViewInsertion"/>
          <w:rFonts w:eastAsia="Times New Roman" w:cs="Times New Roman"/>
          <w:b w:val="false"/>
          <w:bCs/>
          <w:i w:val="false"/>
          <w:color w:val="000000"/>
          <w:sz w:val="20"/>
          <w:szCs w:val="20"/>
          <w:shd w:fill="auto" w:val="clear"/>
          <w:lang w:val="it-IT" w:eastAsia="zh-CN" w:bidi="ar-SA"/>
        </w:rPr>
        <w:t>impresa che occupa meno di 10 persone e realizza un fatturato annuo oppure un totale di bilancio annuo non superiori a 2 milioni di euro;</w:t>
      </w:r>
    </w:p>
    <w:p>
      <w:pPr>
        <w:pStyle w:val="Normal"/>
        <w:widowControl/>
        <w:tabs>
          <w:tab w:val="clear" w:pos="708"/>
          <w:tab w:val="left" w:pos="284" w:leader="none"/>
        </w:tabs>
        <w:ind w:hanging="454" w:left="907" w:right="0"/>
        <w:jc w:val="both"/>
        <w:rPr>
          <w:rFonts w:eastAsia="Times New Roman" w:cs="Times New Roman"/>
          <w:bCs/>
          <w:color w:val="000000"/>
          <w:sz w:val="20"/>
          <w:szCs w:val="20"/>
          <w:shd w:fill="auto" w:val="clear"/>
          <w:lang w:val="it-IT" w:eastAsia="zh-CN" w:bidi="ar-SA"/>
        </w:rPr>
      </w:pPr>
      <w:r>
        <w:rPr>
          <w:rFonts w:eastAsia="Times New Roman" w:cs="Times New Roman"/>
          <w:bCs/>
          <w:color w:val="000000"/>
          <w:sz w:val="20"/>
          <w:szCs w:val="20"/>
          <w:shd w:fill="auto" w:val="clear"/>
          <w:lang w:val="it-IT" w:eastAsia="zh-CN" w:bidi="ar-SA"/>
        </w:rPr>
      </w:r>
    </w:p>
    <w:p>
      <w:pPr>
        <w:pStyle w:val="Normal"/>
        <w:widowControl/>
        <w:tabs>
          <w:tab w:val="clear" w:pos="708"/>
          <w:tab w:val="left" w:pos="284" w:leader="none"/>
        </w:tabs>
        <w:ind w:hanging="454" w:left="907" w:right="0"/>
        <w:jc w:val="both"/>
        <w:rPr/>
      </w:pPr>
      <w:r>
        <w:rPr>
          <w:rFonts w:eastAsia="Times New Roman" w:cs="Times New Roman"/>
          <w:b/>
          <w:bCs/>
          <w:color w:val="000000"/>
          <w:spacing w:val="-2"/>
          <w:sz w:val="20"/>
          <w:szCs w:val="20"/>
          <w:shd w:fill="auto" w:val="clear"/>
          <w:lang w:val="it-IT" w:eastAsia="zh-CN" w:bidi="ar-SA"/>
        </w:rPr>
        <w:t>O</w:t>
        <w:tab/>
      </w:r>
      <w:r>
        <w:rPr>
          <w:rFonts w:eastAsia="Times New Roman" w:cs="Times New Roman"/>
          <w:bCs/>
          <w:color w:val="000000"/>
          <w:spacing w:val="-2"/>
          <w:sz w:val="20"/>
          <w:szCs w:val="20"/>
          <w:shd w:fill="auto" w:val="clear"/>
          <w:lang w:val="it-IT" w:eastAsia="zh-CN" w:bidi="ar-SA"/>
        </w:rPr>
        <w:t xml:space="preserve">una </w:t>
      </w:r>
      <w:r>
        <w:rPr>
          <w:rFonts w:eastAsia="Times New Roman" w:cs="Times New Roman"/>
          <w:b/>
          <w:bCs/>
          <w:color w:val="000000"/>
          <w:spacing w:val="-2"/>
          <w:sz w:val="20"/>
          <w:szCs w:val="20"/>
          <w:shd w:fill="auto" w:val="clear"/>
          <w:lang w:val="it-IT" w:eastAsia="zh-CN" w:bidi="ar-SA"/>
        </w:rPr>
        <w:t>piccola impresa</w:t>
      </w:r>
      <w:r>
        <w:rPr>
          <w:rFonts w:eastAsia="Times New Roman" w:cs="Times New Roman"/>
          <w:bCs/>
          <w:color w:val="000000"/>
          <w:spacing w:val="-2"/>
          <w:sz w:val="20"/>
          <w:szCs w:val="20"/>
          <w:shd w:fill="auto" w:val="clear"/>
          <w:lang w:val="it-IT" w:eastAsia="zh-CN" w:bidi="ar-SA"/>
        </w:rPr>
        <w:t xml:space="preserve">, in quanto </w:t>
      </w:r>
      <w:r>
        <w:rPr>
          <w:rStyle w:val="DeltaViewInsertion"/>
          <w:rFonts w:eastAsia="Times New Roman" w:cs="Times New Roman"/>
          <w:b w:val="false"/>
          <w:bCs/>
          <w:i w:val="false"/>
          <w:color w:val="000000"/>
          <w:sz w:val="20"/>
          <w:szCs w:val="20"/>
          <w:shd w:fill="auto" w:val="clear"/>
          <w:lang w:val="it-IT" w:eastAsia="zh-CN" w:bidi="ar-SA"/>
        </w:rPr>
        <w:t>impresa che non appartiene alla categoria delle microimprese, e che occupa meno di 50 persone e realizza un fatturato annuo o un totale di bilancio annuo non superiori a 10 milioni di euro;</w:t>
      </w:r>
    </w:p>
    <w:p>
      <w:pPr>
        <w:pStyle w:val="Normal"/>
        <w:widowControl/>
        <w:tabs>
          <w:tab w:val="clear" w:pos="708"/>
          <w:tab w:val="left" w:pos="284" w:leader="none"/>
        </w:tabs>
        <w:ind w:hanging="454" w:left="907" w:right="0"/>
        <w:jc w:val="both"/>
        <w:rPr>
          <w:rFonts w:eastAsia="Times New Roman" w:cs="Times New Roman"/>
          <w:bCs/>
          <w:color w:val="000000"/>
          <w:sz w:val="20"/>
          <w:szCs w:val="20"/>
          <w:shd w:fill="auto" w:val="clear"/>
          <w:lang w:val="it-IT" w:eastAsia="zh-CN" w:bidi="ar-SA"/>
        </w:rPr>
      </w:pPr>
      <w:r>
        <w:rPr>
          <w:rFonts w:eastAsia="Times New Roman" w:cs="Times New Roman"/>
          <w:bCs/>
          <w:color w:val="000000"/>
          <w:sz w:val="20"/>
          <w:szCs w:val="20"/>
          <w:shd w:fill="auto" w:val="clear"/>
          <w:lang w:val="it-IT" w:eastAsia="zh-CN" w:bidi="ar-SA"/>
        </w:rPr>
      </w:r>
    </w:p>
    <w:p>
      <w:pPr>
        <w:pStyle w:val="Normal"/>
        <w:widowControl/>
        <w:tabs>
          <w:tab w:val="clear" w:pos="708"/>
          <w:tab w:val="left" w:pos="284" w:leader="none"/>
        </w:tabs>
        <w:ind w:hanging="454" w:left="907" w:right="0"/>
        <w:jc w:val="both"/>
        <w:rPr/>
      </w:pPr>
      <w:r>
        <w:rPr>
          <w:rFonts w:eastAsia="Times New Roman" w:cs="Times New Roman"/>
          <w:b/>
          <w:bCs/>
          <w:i w:val="false"/>
          <w:iCs w:val="false"/>
          <w:color w:val="000000"/>
          <w:spacing w:val="-2"/>
          <w:sz w:val="20"/>
          <w:szCs w:val="20"/>
          <w:shd w:fill="auto" w:val="clear"/>
          <w:lang w:val="it-IT" w:eastAsia="zh-CN" w:bidi="ar-SA"/>
        </w:rPr>
        <w:t>O</w:t>
      </w:r>
      <w:r>
        <w:rPr>
          <w:rFonts w:eastAsia="Times New Roman" w:cs="Times New Roman"/>
          <w:b/>
          <w:bCs/>
          <w:i/>
          <w:iCs/>
          <w:color w:val="000000"/>
          <w:spacing w:val="-2"/>
          <w:sz w:val="20"/>
          <w:szCs w:val="20"/>
          <w:shd w:fill="auto" w:val="clear"/>
          <w:lang w:val="it-IT" w:eastAsia="zh-CN" w:bidi="ar-SA"/>
        </w:rPr>
        <w:tab/>
      </w:r>
      <w:r>
        <w:rPr>
          <w:rFonts w:eastAsia="Times New Roman" w:cs="Times New Roman"/>
          <w:b/>
          <w:bCs/>
          <w:color w:val="000000"/>
          <w:spacing w:val="-2"/>
          <w:sz w:val="20"/>
          <w:szCs w:val="20"/>
          <w:shd w:fill="auto" w:val="clear"/>
          <w:lang w:val="it-IT" w:eastAsia="zh-CN" w:bidi="ar-SA"/>
        </w:rPr>
        <w:t xml:space="preserve">una media impresa, in quanto </w:t>
      </w:r>
      <w:r>
        <w:rPr>
          <w:rStyle w:val="DeltaViewInsertion"/>
          <w:rFonts w:eastAsia="Times New Roman" w:cs="Times New Roman"/>
          <w:b w:val="false"/>
          <w:bCs/>
          <w:i w:val="false"/>
          <w:color w:val="000000"/>
          <w:sz w:val="20"/>
          <w:szCs w:val="20"/>
          <w:shd w:fill="auto" w:val="clear"/>
          <w:lang w:val="it-IT" w:eastAsia="zh-CN" w:bidi="ar-SA"/>
        </w:rPr>
        <w:t>impresa che non appartiene alla categoria delle microimprese né a quella delle piccole imprese</w:t>
      </w:r>
      <w:r>
        <w:rPr>
          <w:rFonts w:eastAsia="Times New Roman" w:cs="Times New Roman"/>
          <w:b/>
          <w:bCs/>
          <w:color w:val="000000"/>
          <w:spacing w:val="-2"/>
          <w:sz w:val="20"/>
          <w:szCs w:val="20"/>
          <w:shd w:fill="auto" w:val="clear"/>
          <w:lang w:val="it-IT" w:eastAsia="zh-CN" w:bidi="ar-SA"/>
        </w:rPr>
        <w:t>, e che occupa meno di 250 persone e il cui fatturato annuo non supera i 50 milioni di euro e/o il cui totale di bilancio annuo non supera i 43 milioni di euro.</w:t>
      </w:r>
    </w:p>
    <w:p>
      <w:pPr>
        <w:pStyle w:val="Normal"/>
        <w:widowControl/>
        <w:tabs>
          <w:tab w:val="clear" w:pos="708"/>
          <w:tab w:val="left" w:pos="0" w:leader="none"/>
          <w:tab w:val="left" w:pos="426" w:leader="none"/>
        </w:tabs>
        <w:ind w:right="84"/>
        <w:jc w:val="both"/>
        <w:rPr/>
      </w:pPr>
      <w:r>
        <w:rPr/>
      </w:r>
    </w:p>
    <w:p>
      <w:pPr>
        <w:pStyle w:val="Normal"/>
        <w:widowControl/>
        <w:tabs>
          <w:tab w:val="clear" w:pos="708"/>
          <w:tab w:val="left" w:pos="0" w:leader="none"/>
          <w:tab w:val="left" w:pos="426" w:leader="none"/>
        </w:tabs>
        <w:ind w:right="84"/>
        <w:jc w:val="both"/>
        <w:rPr/>
      </w:pPr>
      <w:r>
        <w:rPr>
          <w:bCs/>
          <w:strike w:val="false"/>
          <w:dstrike w:val="false"/>
          <w:color w:val="000000"/>
          <w:shd w:fill="auto" w:val="clear"/>
        </w:rPr>
        <w:t>4</w:t>
      </w:r>
      <w:r>
        <w:rPr>
          <w:bCs/>
          <w:color w:val="000000"/>
          <w:shd w:fill="auto" w:val="clear"/>
        </w:rPr>
        <w:t>) c</w:t>
      </w:r>
      <w:r>
        <w:rPr>
          <w:bCs/>
          <w:color w:val="000000"/>
        </w:rPr>
        <w:t>on riferimento ai requisiti</w:t>
      </w:r>
      <w:r>
        <w:rPr/>
        <w:t xml:space="preserve"> </w:t>
      </w:r>
      <w:r>
        <w:rPr>
          <w:bCs/>
          <w:color w:val="000000"/>
        </w:rPr>
        <w:t>richiesti per l’esecuzione dell’appalto in oggetto (sostituire O con X nelle caselle che interessano e completare laddove richiesto):</w:t>
      </w:r>
    </w:p>
    <w:p>
      <w:pPr>
        <w:pStyle w:val="Normal"/>
        <w:widowControl/>
        <w:tabs>
          <w:tab w:val="clear" w:pos="708"/>
          <w:tab w:val="left" w:pos="0" w:leader="none"/>
          <w:tab w:val="left" w:pos="426" w:leader="none"/>
        </w:tabs>
        <w:ind w:left="426" w:right="84"/>
        <w:jc w:val="both"/>
        <w:rPr>
          <w:bCs/>
          <w:color w:val="000000"/>
        </w:rPr>
      </w:pPr>
      <w:r>
        <w:rPr>
          <w:bCs/>
          <w:color w:val="000000"/>
        </w:rPr>
      </w:r>
    </w:p>
    <w:p>
      <w:pPr>
        <w:pStyle w:val="Normal"/>
        <w:widowControl/>
        <w:tabs>
          <w:tab w:val="clear" w:pos="708"/>
          <w:tab w:val="left" w:pos="0" w:leader="none"/>
          <w:tab w:val="left" w:pos="426" w:leader="none"/>
        </w:tabs>
        <w:ind w:left="426" w:right="84"/>
        <w:jc w:val="both"/>
        <w:rPr/>
      </w:pPr>
      <w:r>
        <w:rPr>
          <w:strike w:val="false"/>
          <w:dstrike w:val="false"/>
        </w:rPr>
        <w:t xml:space="preserve">di </w:t>
      </w:r>
      <w:r>
        <w:rPr>
          <w:b w:val="false"/>
          <w:bCs w:val="false"/>
          <w:strike w:val="false"/>
          <w:dstrike w:val="false"/>
        </w:rPr>
        <w:t>essere in possesso</w:t>
      </w:r>
      <w:r>
        <w:rPr>
          <w:b/>
          <w:strike w:val="false"/>
          <w:dstrike w:val="false"/>
        </w:rPr>
        <w:t xml:space="preserve"> ___________</w:t>
      </w:r>
    </w:p>
    <w:p>
      <w:pPr>
        <w:pStyle w:val="Normal"/>
        <w:widowControl/>
        <w:tabs>
          <w:tab w:val="clear" w:pos="708"/>
          <w:tab w:val="left" w:pos="0" w:leader="none"/>
          <w:tab w:val="left" w:pos="426" w:leader="none"/>
        </w:tabs>
        <w:ind w:right="84"/>
        <w:jc w:val="center"/>
        <w:rPr>
          <w:bCs/>
          <w:strike/>
          <w:color w:val="000000"/>
          <w:shd w:fill="FFFF00" w:val="clear"/>
        </w:rPr>
      </w:pPr>
      <w:r>
        <w:rPr>
          <w:bCs/>
          <w:strike/>
          <w:color w:val="000000"/>
          <w:shd w:fill="FFFF00" w:val="clear"/>
        </w:rPr>
      </w:r>
    </w:p>
    <w:p>
      <w:pPr>
        <w:pStyle w:val="Normal"/>
        <w:widowControl/>
        <w:tabs>
          <w:tab w:val="clear" w:pos="708"/>
          <w:tab w:val="left" w:pos="720" w:leader="none"/>
        </w:tabs>
        <w:jc w:val="both"/>
        <w:rPr>
          <w:bCs/>
          <w:strike/>
          <w:color w:val="000000"/>
          <w:shd w:fill="auto" w:val="clear"/>
        </w:rPr>
      </w:pPr>
      <w:r>
        <w:rPr>
          <w:bCs/>
          <w:strike/>
          <w:color w:val="000000"/>
          <w:shd w:fill="auto" w:val="clear"/>
        </w:rPr>
      </w:r>
    </w:p>
    <w:p>
      <w:pPr>
        <w:pStyle w:val="Normal"/>
        <w:widowControl/>
        <w:tabs>
          <w:tab w:val="clear" w:pos="708"/>
          <w:tab w:val="left" w:pos="0" w:leader="none"/>
          <w:tab w:val="left" w:pos="426" w:leader="none"/>
        </w:tabs>
        <w:ind w:left="426" w:right="84"/>
        <w:jc w:val="both"/>
        <w:rPr>
          <w:b w:val="false"/>
          <w:bCs w:val="false"/>
          <w:i/>
          <w:i/>
          <w:iCs/>
          <w:strike w:val="false"/>
          <w:dstrike w:val="false"/>
          <w:shd w:fill="auto" w:val="clear"/>
        </w:rPr>
      </w:pPr>
      <w:r>
        <w:rPr>
          <w:b w:val="false"/>
          <w:bCs w:val="false"/>
          <w:i/>
          <w:iCs/>
          <w:strike w:val="false"/>
          <w:dstrike w:val="false"/>
          <w:shd w:fill="auto" w:val="clear"/>
        </w:rPr>
        <w:t>eventuali requisiti “PNRR” compreso il riferimento all’art. 94 c. 5 lett. c)</w:t>
      </w:r>
    </w:p>
    <w:p>
      <w:pPr>
        <w:pStyle w:val="Normal"/>
        <w:widowControl/>
        <w:tabs>
          <w:tab w:val="clear" w:pos="708"/>
          <w:tab w:val="left" w:pos="720" w:leader="none"/>
        </w:tabs>
        <w:jc w:val="both"/>
        <w:rPr>
          <w:bCs/>
          <w:strike/>
          <w:color w:val="000000"/>
          <w:shd w:fill="auto" w:val="clear"/>
        </w:rPr>
      </w:pPr>
      <w:r>
        <w:rPr>
          <w:bCs/>
          <w:strike/>
          <w:color w:val="000000"/>
          <w:shd w:fill="auto" w:val="clear"/>
        </w:rPr>
      </w:r>
    </w:p>
    <w:p>
      <w:pPr>
        <w:pStyle w:val="Normal"/>
        <w:widowControl/>
        <w:tabs>
          <w:tab w:val="clear" w:pos="708"/>
          <w:tab w:val="left" w:pos="720" w:leader="none"/>
        </w:tabs>
        <w:jc w:val="both"/>
        <w:rPr>
          <w:bCs/>
          <w:strike w:val="false"/>
          <w:dstrike w:val="false"/>
          <w:color w:val="000000"/>
          <w:shd w:fill="auto" w:val="clear"/>
        </w:rPr>
      </w:pPr>
      <w:r>
        <w:rPr>
          <w:bCs/>
          <w:strike w:val="false"/>
          <w:dstrike w:val="false"/>
          <w:color w:val="000000"/>
          <w:shd w:fill="auto" w:val="clear"/>
        </w:rPr>
        <w:t>5) di applicare ai propri dipendenti il CCNL del seguente settore______________ e la seguente CC territoriale_____________</w:t>
      </w:r>
    </w:p>
    <w:p>
      <w:pPr>
        <w:pStyle w:val="Normal"/>
        <w:widowControl/>
        <w:tabs>
          <w:tab w:val="clear" w:pos="708"/>
          <w:tab w:val="left" w:pos="720" w:leader="none"/>
        </w:tabs>
        <w:jc w:val="both"/>
        <w:rPr/>
      </w:pPr>
      <w:r>
        <w:rPr/>
      </w:r>
    </w:p>
    <w:p>
      <w:pPr>
        <w:pStyle w:val="Normal"/>
        <w:widowControl/>
        <w:tabs>
          <w:tab w:val="clear" w:pos="708"/>
          <w:tab w:val="left" w:pos="720" w:leader="none"/>
        </w:tabs>
        <w:jc w:val="both"/>
        <w:rPr/>
      </w:pPr>
      <w:r>
        <w:rPr>
          <w:strike w:val="false"/>
          <w:dstrike w:val="false"/>
          <w:shd w:fill="auto" w:val="clear"/>
        </w:rPr>
        <w:t>6</w:t>
      </w:r>
      <w:r>
        <w:rPr>
          <w:shd w:fill="auto" w:val="clear"/>
        </w:rPr>
        <w:t xml:space="preserve">) </w:t>
      </w:r>
      <w:r>
        <w:rPr/>
        <w:t>di autorizzare ai sensi del Regolamento UE 2016/679, la Stazione Appaltante al trattamento dei dati raccolti con la presente istanza e relativi allegati per le finalità inerenti la procedura di affidamento dell’appalto in oggetto.</w:t>
      </w:r>
    </w:p>
    <w:p>
      <w:pPr>
        <w:pStyle w:val="Normal"/>
        <w:widowControl/>
        <w:tabs>
          <w:tab w:val="clear" w:pos="708"/>
          <w:tab w:val="left" w:pos="0" w:leader="none"/>
        </w:tabs>
        <w:jc w:val="center"/>
        <w:rPr/>
      </w:pPr>
      <w:r>
        <w:rPr/>
        <w:tab/>
        <w:tab/>
        <w:tab/>
        <w:tab/>
        <w:tab/>
        <w:tab/>
        <w:tab/>
        <w:tab/>
        <w:t xml:space="preserve">                                        </w:t>
      </w:r>
    </w:p>
    <w:p>
      <w:pPr>
        <w:pStyle w:val="Normal"/>
        <w:widowControl/>
        <w:tabs>
          <w:tab w:val="clear" w:pos="708"/>
          <w:tab w:val="left" w:pos="0" w:leader="none"/>
        </w:tabs>
        <w:jc w:val="left"/>
        <w:rPr/>
      </w:pPr>
      <w:r>
        <w:rPr/>
      </w:r>
    </w:p>
    <w:p>
      <w:pPr>
        <w:pStyle w:val="Normal"/>
        <w:widowControl/>
        <w:tabs>
          <w:tab w:val="clear" w:pos="708"/>
          <w:tab w:val="left" w:pos="0" w:leader="none"/>
        </w:tabs>
        <w:jc w:val="left"/>
        <w:rPr/>
      </w:pPr>
      <w:r>
        <w:rPr/>
        <w:t>Luogo e data</w:t>
      </w:r>
    </w:p>
    <w:p>
      <w:pPr>
        <w:pStyle w:val="Normal"/>
        <w:widowControl/>
        <w:tabs>
          <w:tab w:val="clear" w:pos="708"/>
          <w:tab w:val="left" w:pos="0" w:leader="none"/>
        </w:tabs>
        <w:jc w:val="left"/>
        <w:rPr/>
      </w:pPr>
      <w:r>
        <w:rPr/>
      </w:r>
    </w:p>
    <w:p>
      <w:pPr>
        <w:pStyle w:val="Normal"/>
        <w:widowControl/>
        <w:tabs>
          <w:tab w:val="clear" w:pos="708"/>
          <w:tab w:val="left" w:pos="0" w:leader="none"/>
        </w:tabs>
        <w:jc w:val="left"/>
        <w:rPr/>
      </w:pPr>
      <w:r>
        <w:rPr/>
      </w:r>
    </w:p>
    <w:p>
      <w:pPr>
        <w:pStyle w:val="Normal"/>
        <w:widowControl/>
        <w:tabs>
          <w:tab w:val="clear" w:pos="708"/>
          <w:tab w:val="left" w:pos="0" w:leader="none"/>
        </w:tabs>
        <w:jc w:val="left"/>
        <w:rPr/>
      </w:pPr>
      <w:r>
        <w:rPr/>
        <w:t xml:space="preserve">------------------------------------------                                                                                                                     </w:t>
      </w:r>
    </w:p>
    <w:p>
      <w:pPr>
        <w:pStyle w:val="Normal"/>
        <w:widowControl/>
        <w:tabs>
          <w:tab w:val="clear" w:pos="708"/>
          <w:tab w:val="left" w:pos="0" w:leader="none"/>
        </w:tabs>
        <w:jc w:val="center"/>
        <w:rPr/>
      </w:pPr>
      <w:r>
        <w:rPr/>
      </w:r>
    </w:p>
    <w:p>
      <w:pPr>
        <w:pStyle w:val="Normal"/>
        <w:widowControl/>
        <w:tabs>
          <w:tab w:val="clear" w:pos="708"/>
          <w:tab w:val="left" w:pos="0" w:leader="none"/>
        </w:tabs>
        <w:jc w:val="center"/>
        <w:rPr/>
      </w:pPr>
      <w:r>
        <w:rPr/>
        <w:t xml:space="preserve">                                                                                                           </w:t>
      </w:r>
      <w:r>
        <w:rPr/>
        <w:t>L’IMPRESA</w:t>
      </w:r>
    </w:p>
    <w:p>
      <w:pPr>
        <w:pStyle w:val="Normal"/>
        <w:widowControl/>
        <w:tabs>
          <w:tab w:val="clear" w:pos="708"/>
          <w:tab w:val="left" w:pos="0" w:leader="none"/>
        </w:tabs>
        <w:rPr/>
      </w:pPr>
      <w:r>
        <w:rPr/>
        <w:tab/>
        <w:tab/>
        <w:tab/>
        <w:tab/>
        <w:tab/>
        <w:tab/>
        <w:tab/>
        <w:tab/>
        <w:t xml:space="preserve">                          Firma digitale</w:t>
      </w:r>
    </w:p>
    <w:p>
      <w:pPr>
        <w:pStyle w:val="Normal"/>
        <w:widowControl/>
        <w:tabs>
          <w:tab w:val="clear" w:pos="708"/>
          <w:tab w:val="left" w:pos="0" w:leader="none"/>
        </w:tabs>
        <w:jc w:val="right"/>
        <w:rPr/>
      </w:pPr>
      <w:r>
        <w:rPr/>
        <w:t>____________________________</w:t>
      </w:r>
    </w:p>
    <w:p>
      <w:pPr>
        <w:pStyle w:val="Normal"/>
        <w:widowControl/>
        <w:tabs>
          <w:tab w:val="clear" w:pos="708"/>
          <w:tab w:val="left" w:pos="0" w:leader="none"/>
        </w:tabs>
        <w:ind w:right="56"/>
        <w:jc w:val="both"/>
        <w:rPr/>
      </w:pPr>
      <w:r>
        <w:rPr/>
      </w:r>
    </w:p>
    <w:p>
      <w:pPr>
        <w:pStyle w:val="Normal"/>
        <w:widowControl/>
        <w:tabs>
          <w:tab w:val="clear" w:pos="708"/>
          <w:tab w:val="left" w:pos="0" w:leader="none"/>
          <w:tab w:val="left" w:pos="1020" w:leader="none"/>
        </w:tabs>
        <w:rPr/>
      </w:pPr>
      <w:r>
        <w:rPr/>
      </w:r>
    </w:p>
    <w:sectPr>
      <w:footnotePr>
        <w:numFmt w:val="decimal"/>
      </w:footnotePr>
      <w:type w:val="nextPage"/>
      <w:pgSz w:w="11906" w:h="16838"/>
      <w:pgMar w:left="1134" w:right="1134"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Times New Roman">
    <w:charset w:val="01"/>
    <w:family w:val="swiss"/>
    <w:pitch w:val="default"/>
  </w:font>
  <w:font w:name="Liberation Serif">
    <w:altName w:val="Times New Roman"/>
    <w:charset w:val="01"/>
    <w:family w:val="swiss"/>
    <w:pitch w:val="default"/>
  </w:font>
  <w:font w:name="Trebuchet MS">
    <w:charset w:val="01"/>
    <w:family w:val="swiss"/>
    <w:pitch w:val="default"/>
  </w:font>
  <w:font w:name="Arial">
    <w:charset w:val="01"/>
    <w:family w:val="swiss"/>
    <w:pitch w:val="default"/>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rPr/>
      </w:pPr>
      <w:r>
        <w:rPr>
          <w:rStyle w:val="Caratterinotaapidipagina"/>
        </w:rPr>
        <w:footnoteRef/>
      </w:r>
      <w:r>
        <w:rPr>
          <w:b/>
          <w:sz w:val="18"/>
          <w:szCs w:val="18"/>
        </w:rPr>
        <w:t xml:space="preserve"> </w:t>
      </w:r>
      <w:r>
        <w:rPr>
          <w:b w:val="false"/>
          <w:bCs w:val="false"/>
          <w:sz w:val="18"/>
          <w:szCs w:val="18"/>
        </w:rPr>
        <w:t xml:space="preserve">Ex art. 94 comma 3 D.Lgs.36/2023 le persone oggetto di dichiarazione devono essere riferite anche alle eventuali controllanti quando ricorrano le circostanze di cui alla citata norma e in tal caso devono essere indicate; </w:t>
      </w:r>
    </w:p>
  </w:footnote>
  <w:footnote w:id="3">
    <w:p>
      <w:pPr>
        <w:pStyle w:val="FootnoteText"/>
        <w:jc w:val="both"/>
        <w:rPr/>
      </w:pPr>
      <w:r>
        <w:rPr>
          <w:rStyle w:val="Caratterinotaapidipagina"/>
        </w:rPr>
        <w:footnoteRef/>
      </w:r>
      <w:r>
        <w:rPr>
          <w:sz w:val="18"/>
          <w:szCs w:val="18"/>
        </w:rPr>
        <w:t xml:space="preserve"> </w:t>
      </w:r>
      <w:r>
        <w:rPr>
          <w:sz w:val="18"/>
          <w:szCs w:val="18"/>
        </w:rPr>
        <w:t>Questa opzione deve essere selezionata se l’impresa è iscritta alla CCIAA e se le persone che rivestono cariche ex articolo 94 c. 3 D.Lgs. 36/2023 sono le stesse risultanti dalla certificazione della CCIAA alla data della presentazione della dichiarazione e la corrispondenza alla certificazione della CCIAA alla data di presentazione della dichiarazione sussiste anche per le eventuali controllanti.</w:t>
      </w:r>
    </w:p>
  </w:footnote>
  <w:footnote w:id="4">
    <w:p>
      <w:pPr>
        <w:pStyle w:val="FootnoteText"/>
        <w:rPr/>
      </w:pPr>
      <w:r>
        <w:rPr>
          <w:rStyle w:val="Caratterinotaapidipagina"/>
        </w:rPr>
        <w:footnoteRef/>
      </w:r>
      <w:r>
        <w:rPr>
          <w:sz w:val="18"/>
          <w:szCs w:val="18"/>
        </w:rPr>
        <w:t xml:space="preserve"> </w:t>
      </w:r>
      <w:r>
        <w:rPr>
          <w:sz w:val="18"/>
          <w:szCs w:val="18"/>
        </w:rPr>
        <w:t xml:space="preserve">Questa opzione deve essere selezionata e completata con i dati di tutte le persone che rivestono cariche ex articolo 94 c. 3 D.Lgs. 36/2023  se l’impresa non è iscritta alla CCIAA, oppure è iscritta, ma le persone che rivestono tali cariche, </w:t>
      </w:r>
      <w:r>
        <w:rPr>
          <w:sz w:val="18"/>
          <w:szCs w:val="18"/>
          <w:u w:val="single"/>
        </w:rPr>
        <w:t>anche per un solo soggetto e anche per  eventuali società controllanti</w:t>
      </w:r>
      <w:r>
        <w:rPr>
          <w:sz w:val="18"/>
          <w:szCs w:val="18"/>
        </w:rPr>
        <w:t>, non sono le stesse risultanti dalla certificazione della CCIAA alla data della presentazione della dichiarazione.</w:t>
      </w:r>
    </w:p>
  </w:footnote>
  <w:footnote w:id="5">
    <w:p>
      <w:pPr>
        <w:pStyle w:val="FootnoteText"/>
        <w:jc w:val="both"/>
        <w:rPr/>
      </w:pPr>
      <w:r>
        <w:rPr>
          <w:rStyle w:val="Caratterinotaapidipagina"/>
        </w:rPr>
        <w:footnoteRef/>
      </w:r>
      <w:r>
        <w:rPr>
          <w:rStyle w:val="Caratterinotaapidipagina"/>
          <w:sz w:val="18"/>
          <w:szCs w:val="18"/>
        </w:rPr>
        <w:t xml:space="preserve"> </w:t>
      </w:r>
      <w:r>
        <w:rPr>
          <w:sz w:val="18"/>
          <w:szCs w:val="18"/>
        </w:rPr>
        <w:t>In caso di eventuali controllanti ex art. 94 comma 3 D.Lgs.36/2023, in questa colonna deve essere anche esplicitata la ragione sociale dell’impresa di riferimento; in caso di mancata indicazione si assume che il soggetto ricopra la carica indicata presso il dichiarante.</w:t>
      </w:r>
    </w:p>
  </w:footnote>
  <w:footnote w:id="6">
    <w:p>
      <w:pPr>
        <w:pStyle w:val="FootnoteText"/>
        <w:rPr/>
      </w:pPr>
      <w:r>
        <w:rPr>
          <w:rStyle w:val="Caratterinotaapidipagina"/>
        </w:rPr>
        <w:footnoteRef/>
      </w:r>
      <w:r>
        <w:rPr/>
        <w:t xml:space="preserve"> </w:t>
      </w:r>
      <w:r>
        <w:rPr>
          <w:sz w:val="18"/>
          <w:szCs w:val="18"/>
        </w:rPr>
        <w:t>La sussistenza di una delle procedure di cui alla dichiarazione proposta, congiuntamente alla sussistenza delle circostanze che consentono comunque la partecipazione alla gara, deve essere dichiarata barrando quanto predisposto nel presente modulo, sostituendo con specifica dichiarazione relativa alla particolare condizione che consente comunque la partecipazione all’operatore economico.</w:t>
      </w:r>
    </w:p>
  </w:footnote>
  <w:footnote w:id="7">
    <w:p>
      <w:pPr>
        <w:pStyle w:val="FootnoteText"/>
        <w:rPr/>
      </w:pPr>
      <w:r>
        <w:rPr>
          <w:rStyle w:val="Caratterinotaapidipagina"/>
        </w:rPr>
        <w:footnoteRef/>
      </w:r>
      <w:r>
        <w:rPr/>
        <w:t xml:space="preserve">  </w:t>
      </w:r>
      <w:r>
        <w:rPr>
          <w:sz w:val="18"/>
          <w:szCs w:val="18"/>
        </w:rPr>
        <w:t>La sussistenza di elementi che possono costituire conflitto di interesse, ovvero distorsione della concorrenza, che il concorrente ritiene possano non costituire causa di esclusione devono essere dichiarati barrando quanto predisposto nel presente modulo, sostituendo con specifica dichiarazione che evidenzi gli elementi che possono costituire ostacolo ialla partecipazione, rimettendo gli stessi alla valutazione della Stazione Appaltante;</w:t>
      </w:r>
    </w:p>
  </w:footnote>
  <w:footnote w:id="8">
    <w:p>
      <w:pPr>
        <w:pStyle w:val="FootnoteText"/>
        <w:rPr/>
      </w:pPr>
      <w:r>
        <w:rPr>
          <w:rStyle w:val="Caratterinotaapidipagina"/>
        </w:rPr>
        <w:footnoteRef/>
      </w:r>
      <w:r>
        <w:rPr/>
        <w:t xml:space="preserve"> </w:t>
      </w:r>
      <w:r>
        <w:rPr>
          <w:sz w:val="18"/>
          <w:szCs w:val="18"/>
        </w:rPr>
        <w:t>La sussistenza di fatti che possono costituire illeciti professionali deve essere dichiarata barrando quanto predisposto nel presente modulo, sostituendo con specifica dichiarazione che evidenzi quanto si intende rimettere alla valutazione della Stazione Appaltante;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upperRoman"/>
      <w:lvlText w:val="%1."/>
      <w:lvlJc w:val="right"/>
      <w:pPr>
        <w:tabs>
          <w:tab w:val="num" w:pos="0"/>
        </w:tabs>
        <w:ind w:left="1004" w:hanging="360"/>
      </w:pPr>
      <w:rPr>
        <w:smallCaps w:val="false"/>
        <w:caps w:val="false"/>
        <w:sz w:val="20"/>
        <w:spacing w:val="0"/>
        <w:i w:val="false"/>
        <w:b w:val="false"/>
        <w:szCs w:val="20"/>
        <w:bCs/>
        <w:rFonts w:eastAsia="Times New Roman" w:cs="Times New Roman"/>
        <w:color w:val="000000"/>
        <w:lang w:val="it-IT" w:eastAsia="zh-CN" w:bidi="ar-SA"/>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footnotePr>
    <w:numFmt w:val="decimal"/>
    <w:footnote w:id="0"/>
    <w:footnote w:id="1"/>
  </w:foot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4"/>
        <w:szCs w:val="24"/>
        <w:lang w:val="it-IT" w:eastAsia="en-US"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923581"/>
    <w:pPr>
      <w:widowControl w:val="false"/>
      <w:suppressAutoHyphens w:val="true"/>
      <w:bidi w:val="0"/>
      <w:spacing w:before="0" w:after="0"/>
      <w:jc w:val="left"/>
    </w:pPr>
    <w:rPr>
      <w:rFonts w:ascii="Times New Roman" w:hAnsi="Times New Roman" w:eastAsia="Times New Roman" w:cs="Times New Roman"/>
      <w:color w:val="auto"/>
      <w:kern w:val="0"/>
      <w:sz w:val="20"/>
      <w:szCs w:val="20"/>
      <w:lang w:val="it-IT" w:eastAsia="zh-CN" w:bidi="ar-SA"/>
    </w:rPr>
  </w:style>
  <w:style w:type="paragraph" w:styleId="Heading3">
    <w:name w:val="Heading 3"/>
    <w:basedOn w:val="Titolo"/>
    <w:next w:val="BodyText"/>
    <w:qFormat/>
    <w:pPr>
      <w:spacing w:before="140" w:after="120"/>
      <w:outlineLvl w:val="2"/>
    </w:pPr>
    <w:rPr>
      <w:rFonts w:ascii="Liberation Serif" w:hAnsi="Liberation Serif" w:eastAsia="Segoe UI" w:cs="Tahoma"/>
      <w:b/>
      <w:bCs/>
      <w:sz w:val="28"/>
      <w:szCs w:val="28"/>
    </w:rPr>
  </w:style>
  <w:style w:type="character" w:styleId="DefaultParagraphFont" w:default="1">
    <w:name w:val="Default Paragraph Font"/>
    <w:uiPriority w:val="1"/>
    <w:semiHidden/>
    <w:unhideWhenUsed/>
    <w:qFormat/>
    <w:rPr/>
  </w:style>
  <w:style w:type="character" w:styleId="Caratterinotaapidipagina" w:customStyle="1">
    <w:name w:val="Caratteri nota a piè di pagina"/>
    <w:qFormat/>
    <w:rsid w:val="00923581"/>
    <w:rPr>
      <w:vertAlign w:val="superscript"/>
    </w:rPr>
  </w:style>
  <w:style w:type="character" w:styleId="TestonotaapidipaginaCarattere" w:customStyle="1">
    <w:name w:val="Testo nota a piè di pagina Carattere"/>
    <w:basedOn w:val="DefaultParagraphFont"/>
    <w:qFormat/>
    <w:rsid w:val="00923581"/>
    <w:rPr>
      <w:rFonts w:ascii="Times New Roman" w:hAnsi="Times New Roman" w:eastAsia="Times New Roman" w:cs="Times New Roman"/>
      <w:sz w:val="20"/>
      <w:szCs w:val="20"/>
      <w:lang w:eastAsia="zh-CN"/>
    </w:rPr>
  </w:style>
  <w:style w:type="character" w:styleId="FootnoteReference1" w:customStyle="1">
    <w:name w:val="Footnote Reference1"/>
    <w:qFormat/>
    <w:rsid w:val="00c17733"/>
    <w:rPr>
      <w:vertAlign w:val="superscript"/>
    </w:rPr>
  </w:style>
  <w:style w:type="character" w:styleId="Hyperlink">
    <w:name w:val="Hyperlink"/>
    <w:rsid w:val="00c17733"/>
    <w:rPr>
      <w:color w:val="000080"/>
      <w:u w:val="single"/>
    </w:rPr>
  </w:style>
  <w:style w:type="character" w:styleId="FootnoteReference">
    <w:name w:val="Footnote Reference"/>
    <w:rPr>
      <w:vertAlign w:val="superscript"/>
    </w:rPr>
  </w:style>
  <w:style w:type="character" w:styleId="Caratterinotadichiusura">
    <w:name w:val="Caratteri nota di chiusura"/>
    <w:qFormat/>
    <w:rPr>
      <w:vertAlign w:val="superscript"/>
    </w:rPr>
  </w:style>
  <w:style w:type="character" w:styleId="EndnoteReference">
    <w:name w:val="Endnote Reference"/>
    <w:rPr>
      <w:vertAlign w:val="superscript"/>
    </w:rPr>
  </w:style>
  <w:style w:type="character" w:styleId="WW8Num2z0">
    <w:name w:val="WW8Num2z0"/>
    <w:qFormat/>
    <w:rPr>
      <w:rFonts w:eastAsia="Times New Roman" w:cs="Times New Roman"/>
      <w:b w:val="false"/>
      <w:bCs/>
      <w:i w:val="false"/>
      <w:caps w:val="false"/>
      <w:smallCaps w:val="false"/>
      <w:color w:val="000000"/>
      <w:spacing w:val="0"/>
      <w:sz w:val="20"/>
      <w:szCs w:val="20"/>
      <w:lang w:val="it-IT" w:eastAsia="zh-CN" w:bidi="ar-SA"/>
    </w:rPr>
  </w:style>
  <w:style w:type="character" w:styleId="DeltaViewInsertion">
    <w:name w:val="DeltaView Insertion"/>
    <w:qFormat/>
    <w:rPr>
      <w:b/>
      <w:i/>
      <w:spacing w:val="0"/>
    </w:rPr>
  </w:style>
  <w:style w:type="character" w:styleId="Carpredefinitoparagrafo2">
    <w:name w:val="Car. predefinito paragrafo2"/>
    <w:qFormat/>
    <w:rPr/>
  </w:style>
  <w:style w:type="paragraph" w:styleId="Titolo">
    <w:name w:val="Titolo"/>
    <w:basedOn w:val="Normal"/>
    <w:next w:val="BodyText"/>
    <w:qFormat/>
    <w:pPr>
      <w:keepNext w:val="true"/>
      <w:spacing w:before="240" w:after="120"/>
    </w:pPr>
    <w:rPr>
      <w:rFonts w:ascii="Trebuchet MS" w:hAnsi="Trebuchet MS" w:eastAsia="Microsoft YaHei" w:cs="Arial Unicode MS"/>
      <w:sz w:val="20"/>
      <w:szCs w:val="28"/>
    </w:rPr>
  </w:style>
  <w:style w:type="paragraph" w:styleId="BodyText">
    <w:name w:val="Body Text"/>
    <w:basedOn w:val="Normal"/>
    <w:pPr>
      <w:spacing w:lineRule="auto" w:line="276" w:before="0" w:after="140"/>
    </w:pPr>
    <w:rPr/>
  </w:style>
  <w:style w:type="paragraph" w:styleId="List">
    <w:name w:val="List"/>
    <w:basedOn w:val="BodyText"/>
    <w:pPr/>
    <w:rPr>
      <w:rFonts w:ascii="Trebuchet MS" w:hAnsi="Trebuchet MS" w:cs="Arial Unicode MS"/>
    </w:rPr>
  </w:style>
  <w:style w:type="paragraph" w:styleId="Caption">
    <w:name w:val="Caption"/>
    <w:basedOn w:val="Normal"/>
    <w:qFormat/>
    <w:pPr>
      <w:suppressLineNumbers/>
      <w:spacing w:before="120" w:after="120"/>
    </w:pPr>
    <w:rPr>
      <w:rFonts w:ascii="Trebuchet MS" w:hAnsi="Trebuchet MS" w:cs="Arial Unicode MS"/>
      <w:i/>
      <w:iCs/>
      <w:sz w:val="24"/>
      <w:szCs w:val="24"/>
    </w:rPr>
  </w:style>
  <w:style w:type="paragraph" w:styleId="Indice">
    <w:name w:val="Indice"/>
    <w:basedOn w:val="Normal"/>
    <w:qFormat/>
    <w:pPr>
      <w:suppressLineNumbers/>
    </w:pPr>
    <w:rPr>
      <w:rFonts w:ascii="Trebuchet MS" w:hAnsi="Trebuchet MS" w:cs="Arial Unicode MS"/>
    </w:rPr>
  </w:style>
  <w:style w:type="paragraph" w:styleId="FootnoteText">
    <w:name w:val="Footnote Text"/>
    <w:basedOn w:val="Normal"/>
    <w:link w:val="TestonotaapidipaginaCarattere"/>
    <w:rsid w:val="00923581"/>
    <w:pPr/>
    <w:rPr/>
  </w:style>
  <w:style w:type="paragraph" w:styleId="Sche3" w:customStyle="1">
    <w:name w:val="sche_3"/>
    <w:qFormat/>
    <w:rsid w:val="00923581"/>
    <w:pPr>
      <w:widowControl w:val="false"/>
      <w:suppressAutoHyphens w:val="true"/>
      <w:bidi w:val="0"/>
      <w:spacing w:before="0" w:after="0"/>
      <w:jc w:val="both"/>
    </w:pPr>
    <w:rPr>
      <w:rFonts w:ascii="Times New Roman" w:hAnsi="Times New Roman" w:eastAsia="Times New Roman" w:cs="Times New Roman"/>
      <w:color w:val="auto"/>
      <w:kern w:val="0"/>
      <w:sz w:val="20"/>
      <w:szCs w:val="20"/>
      <w:lang w:val="en-US" w:eastAsia="zh-CN" w:bidi="ar-SA"/>
    </w:rPr>
  </w:style>
  <w:style w:type="numbering" w:styleId="NoList" w:default="1">
    <w:name w:val="No List"/>
    <w:uiPriority w:val="99"/>
    <w:semiHidden/>
    <w:unhideWhenUsed/>
    <w:qFormat/>
  </w:style>
  <w:style w:type="numbering" w:styleId="WW8Num2">
    <w:name w:val="WW8Num2"/>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bosettiegatti.eu/info/norme/comunitarie/2014_0024_allegati.pdf"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72</TotalTime>
  <Application>LibreOffice/7.6.4.1$Windows_X86_64 LibreOffice_project/e19e193f88cd6c0525a17fb7a176ed8e6a3e2aa1</Application>
  <AppVersion>15.0000</AppVersion>
  <Pages>3</Pages>
  <Words>1430</Words>
  <Characters>8452</Characters>
  <CharactersWithSpaces>10262</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2024-10-09T10:58:00Z</dcterms:created>
  <dc:creator>Microsoft Office User</dc:creator>
  <dc:description/>
  <dc:language>it-IT</dc:language>
  <cp:lastModifiedBy>Carolina Di Maria</cp:lastModifiedBy>
  <dcterms:modified xsi:type="dcterms:W3CDTF">2025-06-06T12:39:12Z</dcterms:modified>
  <cp:revision>24</cp:revision>
  <dc:subject/>
  <dc:title/>
</cp:coreProperties>
</file>

<file path=docProps/custom.xml><?xml version="1.0" encoding="utf-8"?>
<Properties xmlns="http://schemas.openxmlformats.org/officeDocument/2006/custom-properties" xmlns:vt="http://schemas.openxmlformats.org/officeDocument/2006/docPropsVTypes"/>
</file>