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both"/>
        <w:rPr>
          <w:rFonts w:ascii="Arial" w:hAnsi="Arial"/>
          <w:sz w:val="20"/>
          <w:szCs w:val="20"/>
        </w:rPr>
      </w:pPr>
      <w:r>
        <w:rPr>
          <w:rFonts w:ascii="Arial" w:hAnsi="Arial"/>
          <w:sz w:val="20"/>
          <w:szCs w:val="20"/>
        </w:rPr>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both"/>
        <w:rPr/>
      </w:pPr>
      <w:r>
        <w:rPr>
          <w:rFonts w:eastAsia="Times New Roman" w:cs="Times New Roman" w:ascii="Times New Roman" w:hAnsi="Times New Roman"/>
          <w:b/>
        </w:rPr>
        <w:t xml:space="preserve">ACCORDO TRA IL COMUNE DI REGGIO EMILIA E </w:t>
      </w:r>
      <w:r>
        <w:rPr>
          <w:rFonts w:eastAsia="Times New Roman" w:cs="Times New Roman" w:ascii="Times New Roman" w:hAnsi="Times New Roman"/>
          <w:b/>
          <w:bCs/>
        </w:rPr>
        <w:t xml:space="preserve">L’AZIENDA UNITÀ SANITARIA LOCALE – IRCCS DI REGGIO EMILIA </w:t>
      </w:r>
      <w:r>
        <w:rPr>
          <w:rFonts w:eastAsia="Times New Roman" w:cs="Times New Roman" w:ascii="Times New Roman" w:hAnsi="Times New Roman"/>
          <w:b/>
        </w:rPr>
        <w:t>PER LA REALIZZAZIONE DEL PROGETTO “ZOOM – UN POSTO PER GIOVANI” AVVISO DESTEENAZIONE – DESIDERI IN AZIONE – COMUNITÀ ADOLESCENTI, FINALIZZATO ALL’EROGAZIONE DI SERVIZI RIVOLTI AI RAGAZZI E ALLE RAGAZZE ALL’INTERNO DEL PROGRAMMA NAZIONALE INCLUSIONE E LOTTA ALLA POVERTA’ 2021 - 2027</w:t>
      </w:r>
    </w:p>
    <w:p>
      <w:pPr>
        <w:pStyle w:val="Normal"/>
        <w:spacing w:lineRule="auto" w:line="276" w:before="0" w:after="0"/>
        <w:jc w:val="both"/>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276" w:before="0" w:after="0"/>
        <w:jc w:val="center"/>
        <w:rPr/>
      </w:pPr>
      <w:r>
        <w:rPr>
          <w:rFonts w:eastAsia="Times New Roman" w:cs="Times New Roman" w:ascii="Times New Roman" w:hAnsi="Times New Roman"/>
        </w:rPr>
        <w:t>TRA</w:t>
      </w:r>
    </w:p>
    <w:p>
      <w:pPr>
        <w:pStyle w:val="Normal"/>
        <w:spacing w:lineRule="auto" w:line="276" w:before="0" w:after="0"/>
        <w:jc w:val="both"/>
        <w:rPr/>
      </w:pPr>
      <w:r>
        <w:rPr>
          <w:rFonts w:eastAsia="Times New Roman" w:cs="Times New Roman" w:ascii="Times New Roman" w:hAnsi="Times New Roman"/>
          <w:b/>
          <w:bCs/>
        </w:rPr>
        <w:t>COMUNE DI REGGIO EMILIA</w:t>
      </w:r>
      <w:r>
        <w:rPr>
          <w:rFonts w:eastAsia="Times New Roman" w:cs="Times New Roman" w:ascii="Times New Roman" w:hAnsi="Times New Roman"/>
        </w:rPr>
        <w:t xml:space="preserve">, con sede in Reggio Emilia, Piazza Prampolini 1, P.I. 00145920351- di seguito denominato Comune, rappresentato dal </w:t>
      </w:r>
      <w:r>
        <w:rPr>
          <w:rFonts w:eastAsia="Times New Roman" w:cs="Times New Roman" w:ascii="Times New Roman" w:hAnsi="Times New Roman"/>
          <w:color w:val="000000"/>
        </w:rPr>
        <w:t>Dott. Alberto Bevilacqua, in qualità di Dirigente ad interim del  Servizio Officina Educativa</w:t>
      </w:r>
    </w:p>
    <w:p>
      <w:pPr>
        <w:pStyle w:val="Normal"/>
        <w:spacing w:lineRule="auto" w:line="276" w:before="0" w:after="0"/>
        <w:jc w:val="center"/>
        <w:rPr/>
      </w:pPr>
      <w:r>
        <w:rPr>
          <w:rFonts w:eastAsia="Times New Roman" w:cs="Times New Roman" w:ascii="Times New Roman" w:hAnsi="Times New Roman"/>
        </w:rPr>
        <w:t>e</w:t>
      </w:r>
    </w:p>
    <w:p>
      <w:pPr>
        <w:pStyle w:val="Normal"/>
        <w:spacing w:lineRule="auto" w:line="276" w:before="0" w:after="0"/>
        <w:jc w:val="center"/>
        <w:rPr/>
      </w:pPr>
      <w:r>
        <w:rPr>
          <w:rFonts w:eastAsia="Times New Roman" w:cs="Times New Roman" w:ascii="Times New Roman" w:hAnsi="Times New Roman"/>
        </w:rPr>
        <w:t xml:space="preserve"> </w:t>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b/>
          <w:bCs/>
        </w:rPr>
        <w:t xml:space="preserve">L’AZIENDA UNITÀ SANITARIA LOCALE – IRCCS DI REGGIO EMILIA, </w:t>
      </w:r>
      <w:r>
        <w:rPr>
          <w:rFonts w:eastAsia="Times New Roman" w:cs="Times New Roman" w:ascii="Times New Roman" w:hAnsi="Times New Roman"/>
        </w:rPr>
        <w:t>di seguito denominata AUSL RE con sede legale in Reggio Emilia, Via G. Amendola. n. 2 – C.F 01598570354 - nella persona del Direttore Generale, Dott. Davide Fornaciari, domiciliato per la carica presso la sede della stessa AUSL RE</w:t>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rPr>
        <w:t>PREMESSO</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la Legge 8 novembre 2000, n. 328 “</w:t>
      </w:r>
      <w:r>
        <w:rPr>
          <w:rFonts w:eastAsia="Times New Roman" w:cs="Times New Roman" w:ascii="Times New Roman" w:hAnsi="Times New Roman"/>
          <w:i/>
          <w:color w:val="000000"/>
        </w:rPr>
        <w:t xml:space="preserve">Legge quadro per la realizzazione del sistema integrato di interventi e servizi sociali”, </w:t>
      </w:r>
      <w:r>
        <w:rPr>
          <w:rFonts w:eastAsia="Times New Roman" w:cs="Times New Roman" w:ascii="Times New Roman" w:hAnsi="Times New Roman"/>
          <w:color w:val="000000"/>
        </w:rPr>
        <w:t>prevede, all’art. 1, V co., che alla gestione e all’offerta del sistema integrato di interventi e servizi sociali provvedano</w:t>
      </w:r>
      <w:r>
        <w:rPr>
          <w:rFonts w:eastAsia="Times New Roman" w:cs="Times New Roman" w:ascii="Times New Roman" w:hAnsi="Times New Roman"/>
          <w:i/>
          <w:color w:val="000000"/>
        </w:rPr>
        <w:t xml:space="preserve"> “soggetti pubblici nonché, in qualità di soggetti attivi nella progettazione e nella realizzazione concertata degli interventi, organismi non lucrativi di utilità sociale, organismi della cooperazione, organizzazioni di volontariato, associazioni ed enti di promozione sociale, fondazioni, enti di patronato e altri soggetti privati</w:t>
      </w:r>
      <w:r>
        <w:rPr>
          <w:rFonts w:eastAsia="Times New Roman" w:cs="Times New Roman" w:ascii="Times New Roman" w:hAnsi="Times New Roman"/>
          <w:color w:val="000000"/>
        </w:rPr>
        <w:t>” e precisa che “</w:t>
      </w:r>
      <w:r>
        <w:rPr>
          <w:rFonts w:eastAsia="Times New Roman" w:cs="Times New Roman" w:ascii="Times New Roman" w:hAnsi="Times New Roman"/>
          <w:i/>
          <w:color w:val="000000"/>
        </w:rPr>
        <w:t>il sistema integrato di interventi e servizi sociali ha tra gli scopi anche la promozione della solidarietà sociale, con valorizzazione delle iniziative delle persone, dei nuclei familiari, delle forme di auto-aiuto e di reciprocità e della solidarietà organizzata</w:t>
      </w:r>
      <w:r>
        <w:rPr>
          <w:rFonts w:eastAsia="Times New Roman" w:cs="Times New Roman" w:ascii="Times New Roman" w:hAnsi="Times New Roman"/>
          <w:color w:val="000000"/>
        </w:rPr>
        <w:t>”;</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la Legge Regionale 12 marzo 2003, n. 2 “</w:t>
      </w:r>
      <w:r>
        <w:rPr>
          <w:rFonts w:eastAsia="Times New Roman" w:cs="Times New Roman" w:ascii="Times New Roman" w:hAnsi="Times New Roman"/>
          <w:i/>
          <w:color w:val="000000"/>
        </w:rPr>
        <w:t>Norme per la promozione della cittadinanza sociale e per la realizzazione del sistema integrato di interventi e servizi sociali</w:t>
      </w:r>
      <w:r>
        <w:rPr>
          <w:rFonts w:eastAsia="Times New Roman" w:cs="Times New Roman" w:ascii="Times New Roman" w:hAnsi="Times New Roman"/>
          <w:color w:val="000000"/>
        </w:rPr>
        <w:t>” stabilisce all’art. 2, II co., che “</w:t>
      </w:r>
      <w:r>
        <w:rPr>
          <w:rFonts w:eastAsia="Times New Roman" w:cs="Times New Roman" w:ascii="Times New Roman" w:hAnsi="Times New Roman"/>
          <w:i/>
          <w:color w:val="000000"/>
        </w:rPr>
        <w:t>al fine di prevenire, rimuovere o ridurre le condizioni di bisogno e di disagio derivanti da limitazioni personali e sociali, da condizione di non autosufficienza, da difficoltà economiche, la Regione e gli Enti locali realizzano un sistema integrato di interventi e servizi sociali con il concorso dei soggetti della cooperazione sociale, dell’associazionismo di promozione sociale e del volontariato, delle Aziende pubbliche di servizi alla persona, delle Istituzioni pubbliche di assistenza e beneficienza, delle Fondazioni, degli Enti di patronato e degli altri soggetti di cui all’articolo 1, commi 4 e 5, della legge n. 328 del 2000</w:t>
      </w:r>
      <w:r>
        <w:rPr>
          <w:rFonts w:eastAsia="Times New Roman" w:cs="Times New Roman" w:ascii="Times New Roman" w:hAnsi="Times New Roman"/>
          <w:color w:val="000000"/>
        </w:rPr>
        <w:t>”;</w:t>
      </w:r>
    </w:p>
    <w:p>
      <w:pPr>
        <w:pStyle w:val="Normal"/>
        <w:numPr>
          <w:ilvl w:val="0"/>
          <w:numId w:val="1"/>
        </w:numPr>
        <w:spacing w:lineRule="auto" w:line="276" w:before="0" w:after="0"/>
        <w:jc w:val="both"/>
        <w:rPr/>
      </w:pPr>
      <w:r>
        <w:rPr>
          <w:rFonts w:eastAsia="Times New Roman" w:cs="Times New Roman" w:ascii="Times New Roman" w:hAnsi="Times New Roman"/>
        </w:rPr>
        <w:t>che il Comune di Reg</w:t>
      </w:r>
      <w:r>
        <w:rPr>
          <w:rFonts w:eastAsia="Times New Roman" w:cs="Times New Roman" w:ascii="Times New Roman" w:hAnsi="Times New Roman"/>
          <w:color w:val="000000"/>
        </w:rPr>
        <w:t>gio Emilia con nota protocollo generale n.  2024-150336 del 31.05.2024 e n. 2024-156021 del 07.06.2024, ha richiesto rispettivamente ad ASP (come da nota al Protocollo Generale di ASP n. 6793 del 31.05.2024) e AUSL la disponibilità a partecipare al bando promosso dal Ministero del lavoro e delle politiche sociali – Direzion</w:t>
      </w:r>
      <w:r>
        <w:rPr>
          <w:rFonts w:eastAsia="Times New Roman" w:cs="Times New Roman" w:ascii="Times New Roman" w:hAnsi="Times New Roman"/>
        </w:rPr>
        <w:t>e generale per la lotta alla povertà e la programmazione sociale – alla “DIVISIONE III - Autorità di gestione dei programmi operativi nazionali a valere sul Fondo sociale europeo (FSE) e sul Fondo di aiuti europei agli indigenti (FEAD) Programmazione 2014-2020. Autorità di gestione programma operativo nazionale a valere sul Fondo sociale europeo Plus (FSE +). Programmazione 2021-2027. Coordinamento e gestione”</w:t>
      </w:r>
    </w:p>
    <w:p>
      <w:pPr>
        <w:pStyle w:val="Normal"/>
        <w:numPr>
          <w:ilvl w:val="0"/>
          <w:numId w:val="1"/>
        </w:numPr>
        <w:spacing w:lineRule="auto" w:line="276" w:before="0" w:after="0"/>
        <w:jc w:val="both"/>
        <w:rPr/>
      </w:pPr>
      <w:r>
        <w:rPr>
          <w:rFonts w:eastAsia="Times New Roman" w:cs="Times New Roman" w:ascii="Times New Roman" w:hAnsi="Times New Roman"/>
        </w:rPr>
        <w:t>che il bando specifico “DesTEENazione – Desideri in azione” – Comunità adolescenti prevedeva: “Avviso pubblico per la costituzione di Spazi multifunzionali di esperienza per adolescenti sul territorio nazionale per l’erogazione di servizi integrati volti a promuovere, nei ragazzi e nelle ragazze, l’autonomia, la capacità di agire nei propri contesti di vita, la partecipazione e l’inclusione sociale - Triennio 2024-2026”;</w:t>
      </w:r>
    </w:p>
    <w:p>
      <w:pPr>
        <w:pStyle w:val="Normal"/>
        <w:numPr>
          <w:ilvl w:val="0"/>
          <w:numId w:val="1"/>
        </w:numPr>
        <w:spacing w:lineRule="auto" w:line="276" w:before="0" w:after="0"/>
        <w:jc w:val="both"/>
        <w:rPr/>
      </w:pPr>
      <w:r>
        <w:rPr>
          <w:rFonts w:eastAsia="Times New Roman" w:cs="Times New Roman" w:ascii="Times New Roman" w:hAnsi="Times New Roman"/>
          <w:color w:val="000000"/>
        </w:rPr>
        <w:t xml:space="preserve">che in particolare veniva richiesto: </w:t>
      </w:r>
    </w:p>
    <w:p>
      <w:pPr>
        <w:pStyle w:val="Normal"/>
        <w:spacing w:lineRule="auto" w:line="276" w:before="0" w:after="0"/>
        <w:ind w:left="1080"/>
        <w:jc w:val="both"/>
        <w:rPr/>
      </w:pPr>
      <w:r>
        <w:rPr>
          <w:rFonts w:eastAsia="Times New Roman" w:cs="Times New Roman" w:ascii="Times New Roman" w:hAnsi="Times New Roman"/>
          <w:color w:val="000000"/>
        </w:rPr>
        <w:t xml:space="preserve">1) all’ASP </w:t>
      </w:r>
    </w:p>
    <w:p>
      <w:pPr>
        <w:pStyle w:val="Normal"/>
        <w:numPr>
          <w:ilvl w:val="1"/>
          <w:numId w:val="1"/>
        </w:numPr>
        <w:spacing w:lineRule="auto" w:line="276" w:before="0" w:after="0"/>
        <w:jc w:val="both"/>
        <w:rPr/>
      </w:pPr>
      <w:r>
        <w:rPr>
          <w:rFonts w:ascii="Times New Roman" w:hAnsi="Times New Roman"/>
          <w:color w:val="000000"/>
        </w:rPr>
        <w:t>la messa a disposizione, per un periodo di almeno 10 anni, di uno spazio avente le caratteristiche definite dall’Avviso Pubblico da utilizzare per la realizzazione dello Spazio Multifunzionale di esperienza;</w:t>
      </w:r>
    </w:p>
    <w:p>
      <w:pPr>
        <w:pStyle w:val="Normal"/>
        <w:numPr>
          <w:ilvl w:val="1"/>
          <w:numId w:val="1"/>
        </w:numPr>
        <w:spacing w:lineRule="auto" w:line="276" w:before="0" w:after="0"/>
        <w:jc w:val="both"/>
        <w:rPr/>
      </w:pPr>
      <w:r>
        <w:rPr>
          <w:rFonts w:ascii="Times New Roman" w:hAnsi="Times New Roman"/>
          <w:color w:val="000000"/>
        </w:rPr>
        <w:t>la gestione delle attività previste dalla linea di azione del progetto relativa all’aggregazione e all’accompagnamento socio-educativo da realizzare presso lo Spazio Multifunzionale di esperienza.</w:t>
      </w:r>
    </w:p>
    <w:p>
      <w:pPr>
        <w:pStyle w:val="Normal"/>
        <w:spacing w:lineRule="auto" w:line="276" w:before="0" w:after="0"/>
        <w:jc w:val="both"/>
        <w:rPr/>
      </w:pPr>
      <w:r>
        <w:rPr>
          <w:rFonts w:ascii="Times New Roman" w:hAnsi="Times New Roman"/>
          <w:color w:val="000000"/>
        </w:rPr>
        <w:tab/>
        <w:t xml:space="preserve">     2) all’AUSL </w:t>
      </w:r>
    </w:p>
    <w:p>
      <w:pPr>
        <w:pStyle w:val="Normal"/>
        <w:numPr>
          <w:ilvl w:val="1"/>
          <w:numId w:val="1"/>
        </w:numPr>
        <w:spacing w:lineRule="auto" w:line="276" w:before="0" w:after="0"/>
        <w:jc w:val="both"/>
        <w:rPr/>
      </w:pPr>
      <w:r>
        <w:rPr>
          <w:rFonts w:ascii="Times New Roman" w:hAnsi="Times New Roman"/>
          <w:color w:val="000000"/>
        </w:rPr>
        <w:t xml:space="preserve"> </w:t>
      </w:r>
      <w:r>
        <w:rPr>
          <w:rFonts w:ascii="Times New Roman" w:hAnsi="Times New Roman"/>
          <w:color w:val="000000"/>
        </w:rPr>
        <w:t xml:space="preserve">la gestione delle attività previste dalla linea di azione 5 “accompagnamento psicologico ragazzi e promozione dell’intelligenza emotiva”; </w:t>
      </w:r>
    </w:p>
    <w:p>
      <w:pPr>
        <w:pStyle w:val="Normal"/>
        <w:numPr>
          <w:ilvl w:val="0"/>
          <w:numId w:val="1"/>
        </w:numPr>
        <w:spacing w:lineRule="auto" w:line="276" w:before="0" w:after="0"/>
        <w:jc w:val="both"/>
        <w:rPr/>
      </w:pPr>
      <w:r>
        <w:rPr>
          <w:rFonts w:eastAsia="Times New Roman" w:cs="Times New Roman" w:ascii="Times New Roman" w:hAnsi="Times New Roman"/>
        </w:rPr>
        <w:t>che ASP e AUSL hanno aderito a tale proposta; in particolare ASP con la deliberazione del C.d.A. n. 31 del 07.06.2024, condividendo la progettazione ipotizzata anche in locali di ASP stessa, presso il Villaggio Dos</w:t>
      </w:r>
      <w:r>
        <w:rPr>
          <w:rFonts w:eastAsia="Times New Roman" w:cs="Times New Roman" w:ascii="Times New Roman" w:hAnsi="Times New Roman"/>
          <w:color w:val="000000"/>
        </w:rPr>
        <w:t>setti, sito in via Martiri della Bettola, 51 a Reggio Emilia;</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il comune di Reggio Emilia, in qualità di capofila dell’ATS (Ambito Territoriale Sociale) ha presentato un progetto denominato “ZOOM – Un posto per giovani” per l’implementazione delle attività previste dall’Avviso sui territori dei Comuni di Reggio Emilia e Cadelbosco di Sopra, Bagnolo in Piano, Castelnovo di Sotto, che fanno parte dell’Unione dei Comuni Terra di Mezzo, nonché dei Comuni di Albinea, Quattro Castella, Vezzano sul Crostolo, che fanno parte dell’Unione Colline Matildiche;</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l’ATS e il Comune di Reggio Emilia considerano questo progetto un importante strumento per promuovere l’attivazione di nuove collaborazioni di rete a sostegno dell’inclusione delle  ragazze e</w:t>
      </w:r>
      <w:r>
        <w:rPr>
          <w:rFonts w:eastAsia="Times New Roman" w:cs="Times New Roman" w:ascii="Times New Roman" w:hAnsi="Times New Roman"/>
          <w:color w:val="FF3838"/>
        </w:rPr>
        <w:t xml:space="preserve"> </w:t>
      </w:r>
      <w:r>
        <w:rPr>
          <w:rFonts w:eastAsia="Times New Roman" w:cs="Times New Roman" w:ascii="Times New Roman" w:hAnsi="Times New Roman"/>
          <w:color w:val="000000"/>
        </w:rPr>
        <w:t>ragazzi compresi tra gli 11-18 anni e tra 18-21 anni, in carico ai servizi sociali o destinatari di azioni previste dalla Child Guarantee, presenti sul territorio;</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con Decreto Direttoriale del Direttore Generale n. 27 del 27 febbraio 2025, è stata approvata la graduatoria finale dell’Avviso pubblico DesTEENazione - Desideri in azione;</w:t>
      </w:r>
    </w:p>
    <w:p>
      <w:pPr>
        <w:pStyle w:val="Normal"/>
        <w:numPr>
          <w:ilvl w:val="0"/>
          <w:numId w:val="1"/>
        </w:numPr>
        <w:spacing w:lineRule="auto" w:line="276" w:before="0" w:after="0"/>
        <w:jc w:val="both"/>
        <w:rPr/>
      </w:pPr>
      <w:r>
        <w:rPr>
          <w:rFonts w:eastAsia="Times New Roman" w:cs="Times New Roman" w:ascii="Times New Roman" w:hAnsi="Times New Roman"/>
          <w:color w:val="000000"/>
        </w:rPr>
        <w:t>che con successivo Decreto Direttoriale del Direttore Generale n. 30 del 04 marzo 2025, con un punteggio di 76,6, è stata disposta l’ammissione a finanziamento del progetto presentato dal Comune di Reggio Emilia –quale comune capofila, per la durata di tre anni a partire dalla sottoscrizione della  di sovvenzione;</w:t>
      </w:r>
    </w:p>
    <w:p>
      <w:pPr>
        <w:pStyle w:val="Normal"/>
        <w:numPr>
          <w:ilvl w:val="0"/>
          <w:numId w:val="1"/>
        </w:numPr>
        <w:spacing w:lineRule="auto" w:line="276" w:before="120" w:after="120"/>
        <w:rPr/>
      </w:pPr>
      <w:r>
        <w:rPr>
          <w:rFonts w:eastAsia="Times New Roman" w:cs="Times New Roman" w:ascii="Times New Roman" w:hAnsi="Times New Roman"/>
          <w:color w:val="000000"/>
        </w:rPr>
        <w:t>che per l’attuazione degli interventi sono stati attivati due CUP (Codice Unico di Progetto):</w:t>
      </w:r>
    </w:p>
    <w:p>
      <w:pPr>
        <w:pStyle w:val="Normal"/>
        <w:numPr>
          <w:ilvl w:val="0"/>
          <w:numId w:val="5"/>
        </w:numPr>
        <w:spacing w:lineRule="auto" w:line="276" w:before="120" w:after="120"/>
        <w:rPr/>
      </w:pPr>
      <w:r>
        <w:rPr>
          <w:rFonts w:eastAsia="Times New Roman" w:cs="Times New Roman" w:ascii="Times New Roman" w:hAnsi="Times New Roman"/>
          <w:color w:val="000000"/>
        </w:rPr>
        <w:t>CUP J81H25000030006 per le Linee 1-2-3-4-5-6.</w:t>
      </w:r>
    </w:p>
    <w:p>
      <w:pPr>
        <w:pStyle w:val="Normal"/>
        <w:numPr>
          <w:ilvl w:val="0"/>
          <w:numId w:val="5"/>
        </w:numPr>
        <w:spacing w:lineRule="auto" w:line="276" w:before="120" w:after="120"/>
        <w:rPr/>
      </w:pPr>
      <w:r>
        <w:rPr>
          <w:rFonts w:eastAsia="Times New Roman" w:cs="Times New Roman" w:ascii="Times New Roman" w:hAnsi="Times New Roman"/>
          <w:color w:val="000000"/>
        </w:rPr>
        <w:t>CUP J85E25000040006 per la Linea 7.</w:t>
      </w:r>
    </w:p>
    <w:p>
      <w:pPr>
        <w:pStyle w:val="Normal"/>
        <w:numPr>
          <w:ilvl w:val="0"/>
          <w:numId w:val="5"/>
        </w:numPr>
        <w:spacing w:lineRule="auto" w:line="276" w:before="120" w:after="120"/>
        <w:jc w:val="both"/>
        <w:rPr/>
      </w:pPr>
      <w:r>
        <w:rPr>
          <w:rFonts w:eastAsia="Times New Roman" w:cs="Times New Roman" w:ascii="Times New Roman" w:hAnsi="Times New Roman"/>
          <w:color w:val="000000"/>
        </w:rPr>
        <w:t xml:space="preserve">che è stato attribuito dal  Ministero del lavoro e delle Politiche Sociali  il seguente Codice locale di Progetto:                                                                                                                                                                                -  Codice Locale di Progetto per le  Linee 1-2-3-4-5-6: </w:t>
      </w:r>
      <w:r>
        <w:rPr>
          <w:rStyle w:val="Strong"/>
          <w:rFonts w:eastAsia="Times New Roman" w:cs="Times New Roman" w:ascii="Times New Roman" w:hAnsi="Times New Roman"/>
          <w:color w:val="000000"/>
        </w:rPr>
        <w:t xml:space="preserve">PRG-DesTEENazione-1138-emi_26-DesTEENazione_FSE+                                                                                                                                         </w:t>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pPr>
      <w:r>
        <w:rPr>
          <w:rFonts w:eastAsia="Times New Roman" w:cs="Times New Roman" w:ascii="Times New Roman" w:hAnsi="Times New Roman"/>
          <w:color w:val="000000"/>
        </w:rPr>
        <w:t>Dato atto che</w:t>
      </w:r>
    </w:p>
    <w:p>
      <w:pPr>
        <w:pStyle w:val="Normal"/>
        <w:spacing w:lineRule="auto" w:line="276" w:before="0" w:after="0"/>
        <w:jc w:val="both"/>
        <w:rPr/>
      </w:pPr>
      <w:r>
        <w:rPr>
          <w:rFonts w:eastAsia="Times New Roman" w:cs="Times New Roman" w:ascii="Times New Roman" w:hAnsi="Times New Roman"/>
          <w:color w:val="000000"/>
        </w:rPr>
        <w:t>- le parti dichiarano di aver preso visione dell’</w:t>
      </w:r>
      <w:r>
        <w:rPr>
          <w:rFonts w:eastAsia="Times New Roman" w:cs="Times New Roman" w:ascii="Times New Roman" w:hAnsi="Times New Roman"/>
          <w:color w:val="000000"/>
          <w:shd w:fill="FFFFFF" w:val="clear"/>
        </w:rPr>
        <w:t>avviso pubblico DesTEENazione - Desideri in azione e suoi allegati, del progetto presentato comune di Reggio Emilia, in qualità di capofila dell’ATS e della  di Sovvenzione e del Manuale per i Beneficiari Versione 02- Febbraio 2025;</w:t>
      </w:r>
    </w:p>
    <w:p>
      <w:pPr>
        <w:pStyle w:val="Normal"/>
        <w:spacing w:lineRule="auto" w:line="276" w:before="0" w:after="0"/>
        <w:jc w:val="both"/>
        <w:rPr/>
      </w:pPr>
      <w:r>
        <w:rPr>
          <w:rFonts w:eastAsia="Times New Roman" w:cs="Times New Roman" w:ascii="Times New Roman" w:hAnsi="Times New Roman"/>
        </w:rPr>
        <w:t xml:space="preserve">- </w:t>
      </w:r>
      <w:r>
        <w:rPr>
          <w:rFonts w:eastAsia="Times New Roman" w:cs="Times New Roman" w:ascii="Times New Roman" w:hAnsi="Times New Roman"/>
          <w:color w:val="000000"/>
        </w:rPr>
        <w:t>la progettazione consente al sistema della Città di Reggio Emilia e del Distretto di pertinenza di ampliare l’offerta di interventi educativi per i ragazzi e le ragazze per i prossimi 3 anni, implementando l’offerta di servizi ai cittadini e alle loro famiglie;</w:t>
      </w:r>
    </w:p>
    <w:p>
      <w:pPr>
        <w:pStyle w:val="Normal"/>
        <w:spacing w:lineRule="auto" w:line="276" w:before="0" w:after="0"/>
        <w:jc w:val="both"/>
        <w:rPr/>
      </w:pPr>
      <w:r>
        <w:rPr>
          <w:rFonts w:eastAsia="Times New Roman" w:cs="Times New Roman" w:ascii="Times New Roman" w:hAnsi="Times New Roman"/>
          <w:color w:val="000000"/>
          <w:shd w:fill="FFFFFF" w:val="clear"/>
        </w:rPr>
        <w:t>- che l’Avviso ministeriale prevede, altresì,  la possibilità di ristrutturare spazi ad uso pubblico,  con interventi di tipo edilizio e con attrezzature innovative per i nuovi servizi aperti alla cittadinanza;</w:t>
      </w:r>
    </w:p>
    <w:p>
      <w:pPr>
        <w:pStyle w:val="Normal"/>
        <w:spacing w:lineRule="auto" w:line="276" w:before="0" w:after="0"/>
        <w:jc w:val="both"/>
        <w:rPr>
          <w:rFonts w:ascii="Times New Roman" w:hAnsi="Times New Roman" w:eastAsia="Times New Roman" w:cs="Times New Roman"/>
          <w:color w:val="000000"/>
          <w:shd w:fill="FFFFFF" w:val="clear"/>
        </w:rPr>
      </w:pPr>
      <w:r>
        <w:rPr>
          <w:rFonts w:eastAsia="Times New Roman" w:cs="Times New Roman" w:ascii="Times New Roman" w:hAnsi="Times New Roman"/>
          <w:color w:val="000000"/>
          <w:shd w:fill="FFFFFF" w:val="clear"/>
        </w:rPr>
      </w:r>
    </w:p>
    <w:p>
      <w:pPr>
        <w:pStyle w:val="Normal"/>
        <w:spacing w:lineRule="auto" w:line="276" w:before="0" w:after="0"/>
        <w:jc w:val="both"/>
        <w:rPr/>
      </w:pPr>
      <w:r>
        <w:rPr>
          <w:rFonts w:eastAsia="Times New Roman" w:cs="Times New Roman" w:ascii="Times New Roman" w:hAnsi="Times New Roman"/>
          <w:color w:val="000000"/>
          <w:shd w:fill="FFFFFF" w:val="clear"/>
        </w:rPr>
        <w:t>Considerato che</w:t>
      </w:r>
    </w:p>
    <w:p>
      <w:pPr>
        <w:pStyle w:val="Normal"/>
        <w:spacing w:lineRule="auto" w:line="276" w:before="0" w:after="0"/>
        <w:jc w:val="both"/>
        <w:rPr>
          <w:rFonts w:ascii="Times New Roman" w:hAnsi="Times New Roman" w:eastAsia="Times New Roman" w:cs="Times New Roman"/>
          <w:color w:val="000000"/>
          <w:shd w:fill="FFFFFF" w:val="clear"/>
        </w:rPr>
      </w:pPr>
      <w:r>
        <w:rPr>
          <w:rFonts w:eastAsia="Times New Roman" w:cs="Times New Roman" w:ascii="Times New Roman" w:hAnsi="Times New Roman"/>
          <w:color w:val="000000"/>
          <w:shd w:fill="FFFFFF" w:val="clear"/>
        </w:rPr>
      </w:r>
    </w:p>
    <w:p>
      <w:pPr>
        <w:pStyle w:val="Normal"/>
        <w:spacing w:lineRule="auto" w:line="276" w:before="0" w:after="0"/>
        <w:jc w:val="both"/>
        <w:rPr/>
      </w:pPr>
      <w:r>
        <w:rPr>
          <w:rFonts w:eastAsia="Times New Roman" w:cs="Times New Roman" w:ascii="Times New Roman" w:hAnsi="Times New Roman"/>
          <w:color w:val="000000"/>
          <w:shd w:fill="FFFFFF" w:val="clear"/>
        </w:rPr>
        <w:t>-che esiste la volontà comune di collaborare per la gestione di uno spazio multifunzionale di esperienza, mettendo a disposizione le rispettive competenze, nel rispetto delle specifiche contenute nell’avviso pubblico DesTEENazione - Desideri in azione, nel progetto presentato</w:t>
      </w:r>
      <w:r>
        <w:rPr>
          <w:rFonts w:eastAsia="Times New Roman" w:cs="Times New Roman" w:ascii="Times New Roman" w:hAnsi="Times New Roman"/>
          <w:color w:val="000000"/>
        </w:rPr>
        <w:t xml:space="preserve"> e nella  sovvenzione;</w:t>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pPr>
      <w:r>
        <w:rPr>
          <w:rFonts w:eastAsia="Times New Roman" w:cs="Times New Roman" w:ascii="Times New Roman" w:hAnsi="Times New Roman"/>
          <w:color w:val="000000"/>
          <w:shd w:fill="FFFFFF" w:val="clear"/>
        </w:rPr>
        <w:t>Ritenuto quindi necessario sviluppare un’azione integrata tra i servizi educativi, sociali e sanitari per garantire un intervento efficace e completo nei confronti degli adolescenti, con particolare attenzione a quelle situazioni di disagio e vulnerabilità.</w:t>
      </w:r>
    </w:p>
    <w:p>
      <w:pPr>
        <w:pStyle w:val="Normal"/>
        <w:spacing w:lineRule="auto" w:line="276" w:before="0" w:after="0"/>
        <w:jc w:val="both"/>
        <w:rPr>
          <w:rFonts w:ascii="Times New Roman" w:hAnsi="Times New Roman" w:eastAsia="Times New Roman" w:cs="Times New Roman"/>
          <w:color w:val="000000"/>
          <w:shd w:fill="FFFFFF" w:val="clear"/>
        </w:rPr>
      </w:pPr>
      <w:r>
        <w:rPr>
          <w:rFonts w:eastAsia="Times New Roman" w:cs="Times New Roman" w:ascii="Times New Roman" w:hAnsi="Times New Roman"/>
          <w:color w:val="000000"/>
          <w:shd w:fill="FFFFFF" w:val="clear"/>
        </w:rPr>
      </w:r>
    </w:p>
    <w:p>
      <w:pPr>
        <w:pStyle w:val="Normal"/>
        <w:spacing w:lineRule="auto" w:line="276" w:before="0" w:after="0"/>
        <w:jc w:val="both"/>
        <w:rPr/>
      </w:pPr>
      <w:r>
        <w:rPr>
          <w:rFonts w:eastAsia="Times New Roman" w:cs="Times New Roman" w:ascii="Times New Roman" w:hAnsi="Times New Roman"/>
          <w:color w:val="000000"/>
          <w:shd w:fill="FFFFFF" w:val="clear"/>
        </w:rPr>
        <w:t>Vista la delibera di Giunta Comunale del 10/04/2025 n. 65/2025  che dispone di dare attuazione al progetto “ZOOM – UN POSTO PER GIOVANI” a valere sull’avviso “DesTEENazione - Desideri in azione” finanziato con risorse del “PN Inclusione” come da sottoscrizione  attuativa.</w:t>
      </w:r>
    </w:p>
    <w:p>
      <w:pPr>
        <w:pStyle w:val="Normal"/>
        <w:spacing w:lineRule="auto" w:line="276" w:before="0" w:after="0"/>
        <w:jc w:val="both"/>
        <w:rPr>
          <w:rFonts w:ascii="Times New Roman" w:hAnsi="Times New Roman" w:eastAsia="Times New Roman" w:cs="Times New Roman"/>
          <w:color w:val="000000"/>
          <w:shd w:fill="FFFFFF" w:val="clear"/>
        </w:rPr>
      </w:pPr>
      <w:r>
        <w:rPr>
          <w:rFonts w:eastAsia="Times New Roman" w:cs="Times New Roman" w:ascii="Times New Roman" w:hAnsi="Times New Roman"/>
          <w:color w:val="000000"/>
          <w:shd w:fill="FFFFFF" w:val="clear"/>
        </w:rPr>
      </w:r>
    </w:p>
    <w:p>
      <w:pPr>
        <w:pStyle w:val="Normal"/>
        <w:spacing w:lineRule="auto" w:line="276" w:before="0" w:after="0"/>
        <w:jc w:val="both"/>
        <w:rPr/>
      </w:pPr>
      <w:r>
        <w:rPr>
          <w:rFonts w:eastAsia="Times New Roman" w:cs="Times New Roman" w:ascii="Times New Roman" w:hAnsi="Times New Roman"/>
          <w:color w:val="000000"/>
        </w:rPr>
        <w:t xml:space="preserve">Vista la delibera di giunta del 08/05/2025  I.D. n. 89, che ha approvato </w:t>
      </w:r>
      <w:r>
        <w:rPr>
          <w:rFonts w:eastAsia="Times New Roman" w:cs="Arial" w:ascii="Arial" w:hAnsi="Arial"/>
          <w:bCs/>
          <w:color w:val="000000"/>
        </w:rPr>
        <w:t>l’</w:t>
      </w:r>
      <w:r>
        <w:rPr>
          <w:rFonts w:eastAsia="Times New Roman" w:cs="Times New Roman" w:ascii="Times New Roman" w:hAnsi="Times New Roman"/>
          <w:color w:val="000000"/>
        </w:rPr>
        <w:t>accordo tra il comune di Reggio Emilia e ASP Reggio Emilia Citta’ delle Persone  per la realizzazione del progetto “ZOOM – un posto per giovani” avviso DESTEENAZIONE – desideri in azione – comunità adolescenti, finalizzato all’erogazione di servizi rivolti ai ragazzi e alle ragazze all’interno del programma nazionale inclusione e lotta alla poverta’ 2021 – 2027.</w:t>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pPr>
      <w:r>
        <w:rPr>
          <w:rFonts w:eastAsia="Times New Roman" w:cs="Times New Roman" w:ascii="Times New Roman" w:hAnsi="Times New Roman"/>
          <w:color w:val="000000"/>
          <w:shd w:fill="FFFFFF" w:val="clear"/>
        </w:rPr>
        <w:t>Tutto ciò premesso, le Part</w:t>
      </w:r>
      <w:r>
        <w:rPr>
          <w:rFonts w:eastAsia="Times New Roman" w:cs="Times New Roman" w:ascii="Times New Roman" w:hAnsi="Times New Roman"/>
        </w:rPr>
        <w:t>i, come sopra rappresentate, concordano quanto segue:</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1</w:t>
      </w:r>
    </w:p>
    <w:p>
      <w:pPr>
        <w:pStyle w:val="Normal"/>
        <w:spacing w:lineRule="auto" w:line="276" w:before="0" w:after="0"/>
        <w:jc w:val="center"/>
        <w:rPr/>
      </w:pPr>
      <w:r>
        <w:rPr>
          <w:rFonts w:eastAsia="Times New Roman" w:cs="Times New Roman" w:ascii="Times New Roman" w:hAnsi="Times New Roman"/>
          <w:b/>
        </w:rPr>
        <w:t>PREMESSE</w:t>
      </w:r>
    </w:p>
    <w:p>
      <w:pPr>
        <w:pStyle w:val="Normal"/>
        <w:spacing w:lineRule="auto" w:line="276" w:before="0" w:after="0"/>
        <w:jc w:val="both"/>
        <w:rPr/>
      </w:pPr>
      <w:r>
        <w:rPr>
          <w:rFonts w:eastAsia="Times New Roman" w:cs="Times New Roman" w:ascii="Times New Roman" w:hAnsi="Times New Roman"/>
        </w:rPr>
        <w:t>Le Parti si impegnano a considerare le premesse parte integrante e fondamentale del presente accordo.</w:t>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2</w:t>
      </w:r>
    </w:p>
    <w:p>
      <w:pPr>
        <w:pStyle w:val="Normal"/>
        <w:spacing w:lineRule="auto" w:line="276" w:before="0" w:after="0"/>
        <w:jc w:val="center"/>
        <w:rPr/>
      </w:pPr>
      <w:r>
        <w:rPr>
          <w:rFonts w:eastAsia="Times New Roman" w:cs="Times New Roman" w:ascii="Times New Roman" w:hAnsi="Times New Roman"/>
          <w:b/>
        </w:rPr>
        <w:t xml:space="preserve">OGGETTO DELL’ACCORDO </w:t>
      </w:r>
    </w:p>
    <w:p>
      <w:pPr>
        <w:pStyle w:val="Normal"/>
        <w:spacing w:lineRule="auto" w:line="276" w:before="0" w:after="0"/>
        <w:jc w:val="both"/>
        <w:rPr/>
      </w:pPr>
      <w:r>
        <w:rPr>
          <w:rFonts w:eastAsia="Times New Roman" w:cs="Times New Roman" w:ascii="Times New Roman" w:hAnsi="Times New Roman"/>
        </w:rPr>
        <w:t>Il presente accordo ha per oggetto</w:t>
      </w:r>
      <w:r>
        <w:rPr>
          <w:rFonts w:cs="Times New Roman" w:ascii="Times New Roman" w:hAnsi="Times New Roman"/>
        </w:rPr>
        <w:t xml:space="preserve"> </w:t>
      </w:r>
      <w:r>
        <w:rPr>
          <w:rFonts w:eastAsia="Times New Roman" w:cs="Times New Roman" w:ascii="Times New Roman" w:hAnsi="Times New Roman"/>
        </w:rPr>
        <w:t>la realizzazione della linea 5 del progetto “ZOOM - UN POSTO PER GIOVANI.” a valere sull’avviso  “DesTEENazione – desideri in azione”. Il progetto è  finalizzato all’erogazione di servizi ri</w:t>
      </w:r>
      <w:r>
        <w:rPr>
          <w:rFonts w:eastAsia="Times New Roman" w:cs="Times New Roman" w:ascii="Times New Roman" w:hAnsi="Times New Roman"/>
          <w:color w:val="000000"/>
        </w:rPr>
        <w:t>volti ai ragazzi e alle ragazze attraverso la costituzione di uno Spazio multifunzionale di esperienza per adolescenti (da qui in avanti SM) nell’ambito territoriale di Reggio Emilia ( che sarà attivato presso la sede di ASP Reggio Emilia città delle persone in via Martiri della Bettola, 51- Reggio Emilia) e mediante l’erogazione di servizi integrati volti a promuovere l</w:t>
      </w:r>
      <w:r>
        <w:rPr>
          <w:rFonts w:eastAsia="Times New Roman" w:cs="Times New Roman" w:ascii="Times New Roman" w:hAnsi="Times New Roman"/>
        </w:rPr>
        <w:t>’autonomia, la capacità di agire nei propri contesti di vita, la partecipazione e l’inclusione sociale, a valere sulle seguenti Priorità del Programma Nazionale Inclusione e Lotta alla Povertà:</w:t>
      </w:r>
    </w:p>
    <w:p>
      <w:pPr>
        <w:pStyle w:val="ListParagraph"/>
        <w:numPr>
          <w:ilvl w:val="0"/>
          <w:numId w:val="1"/>
        </w:numPr>
        <w:spacing w:lineRule="auto" w:line="276" w:before="0" w:after="0"/>
        <w:contextualSpacing/>
        <w:jc w:val="both"/>
        <w:rPr/>
      </w:pPr>
      <w:r>
        <w:rPr>
          <w:rFonts w:eastAsia="Times New Roman" w:cs="Times New Roman" w:ascii="Times New Roman" w:hAnsi="Times New Roman"/>
        </w:rPr>
        <w:t>Priorità 2 FSE+ “Child Guarantee” - OS k (ESO4.11) - migliorare l'accesso paritario e tempestivo a servizi di qualità, sostenibili e a prezzi accessibili, compresi i servizi che promuovono l'accesso agli alloggi e all'assistenza incentrata sulla persona, anche in ambito sanitario; modernizzare i sistemi di protezione sociale, anche promuovendone l'accesso e prestando particolare attenzione ai minori e ai gruppi svantaggiati; migliorare l'accessibilità l'efficacia e la resilienza dei sistemi sanitari e dei servizi di assistenza di lunga durata, anche per le persone con disabilità;</w:t>
      </w:r>
    </w:p>
    <w:p>
      <w:pPr>
        <w:pStyle w:val="ListParagraph"/>
        <w:numPr>
          <w:ilvl w:val="0"/>
          <w:numId w:val="1"/>
        </w:numPr>
        <w:spacing w:lineRule="auto" w:line="276" w:before="0" w:after="0"/>
        <w:contextualSpacing/>
        <w:jc w:val="both"/>
        <w:rPr/>
      </w:pPr>
      <w:r>
        <w:rPr>
          <w:rFonts w:eastAsia="Times New Roman" w:cs="Times New Roman" w:ascii="Times New Roman" w:hAnsi="Times New Roman"/>
        </w:rPr>
        <w:t>Priorità 4 FESR “Interventi infrastrutturali per l'inclusione socio-economica” - OS d.iii (RSO4.3) – promuovere l’inclusione socioeconomica delle comunità emarginate, delle famiglie a basso reddito e dei gruppi svantaggiati, incluse le persone con bisogni speciali, mediante azioni integrate, compresi gli alloggi e i servizi sociali.</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Il progetto si rivolge prevalentemente a minorenni di età compresa tra 11-18 anni che esprimono condizioni di fragilità sociale, malessere emotivo o povertà educativa e culturale, le quali possono manifestarsi in forme di disagio di natura internalizzante o esternalizzante. La logica di intervento, fondata sulla valorizzazione delle risorse dei ragazzi e sul sostegno allo sviluppo dell’autonomia e delle competenze relazionali, definisce la proposta di un presidio educativo in grado da una parte di proiettarsi all’esterno e stabilire relazioni con il territorio e dall’altro di proporre al suo interno attività e modalità di accesso differenziate, rappresentando quindi una risorsa per un target di giovani più esteso.</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Il progetto sarà complessivamente articolato in 6 linee di attività, tra loro coordinate e interagenti e 1 linea dedicata all’allestimento dello SM:</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 xml:space="preserve">Linea 1 – coordinamento del progetto </w:t>
      </w:r>
    </w:p>
    <w:p>
      <w:pPr>
        <w:pStyle w:val="Normal"/>
        <w:spacing w:lineRule="auto" w:line="240" w:before="0" w:after="46"/>
        <w:ind w:left="624"/>
        <w:jc w:val="both"/>
        <w:rPr/>
      </w:pPr>
      <w:r>
        <w:rPr>
          <w:rStyle w:val="Hyperlink"/>
          <w:rFonts w:cs="Times New Roman" w:ascii="Times New Roman" w:hAnsi="Times New Roman"/>
          <w:color w:val="000000"/>
          <w:u w:val="none"/>
        </w:rPr>
        <w:t>1.1 Coordinamento strategico-programmatico</w:t>
      </w:r>
    </w:p>
    <w:p>
      <w:pPr>
        <w:pStyle w:val="Normal"/>
        <w:spacing w:lineRule="auto" w:line="240"/>
        <w:ind w:left="624"/>
        <w:jc w:val="both"/>
        <w:rPr/>
      </w:pPr>
      <w:r>
        <w:rPr>
          <w:rStyle w:val="Hyperlink"/>
          <w:rFonts w:cs="Times New Roman" w:ascii="Times New Roman" w:hAnsi="Times New Roman"/>
          <w:color w:val="000000"/>
          <w:u w:val="none"/>
        </w:rPr>
        <w:t>1.2 Coordinamento tecnico</w:t>
      </w:r>
    </w:p>
    <w:p>
      <w:pPr>
        <w:pStyle w:val="Normal"/>
        <w:spacing w:lineRule="auto" w:line="240"/>
        <w:ind w:left="624"/>
        <w:jc w:val="both"/>
        <w:rPr/>
      </w:pPr>
      <w:r>
        <w:rPr>
          <w:rStyle w:val="Hyperlink"/>
          <w:rFonts w:cs="Times New Roman" w:ascii="Times New Roman" w:hAnsi="Times New Roman"/>
          <w:color w:val="000000"/>
          <w:u w:val="none"/>
        </w:rPr>
        <w:t>1.3 Gestione sorveglianza</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2 – attività educative/socioeducative ed educativa di strada</w:t>
      </w:r>
    </w:p>
    <w:p>
      <w:pPr>
        <w:pStyle w:val="Normal"/>
        <w:spacing w:lineRule="auto" w:line="276" w:before="0" w:after="0"/>
        <w:ind w:left="567"/>
        <w:jc w:val="both"/>
        <w:rPr/>
      </w:pPr>
      <w:r>
        <w:rPr>
          <w:rFonts w:cs="Times New Roman" w:ascii="Times New Roman" w:hAnsi="Times New Roman"/>
          <w:color w:val="000000"/>
        </w:rPr>
        <w:t>2.1.a Attività aggregative e socioeducative</w:t>
      </w:r>
    </w:p>
    <w:p>
      <w:pPr>
        <w:pStyle w:val="Normal"/>
        <w:spacing w:lineRule="auto" w:line="276" w:before="0" w:after="0"/>
        <w:ind w:left="567"/>
        <w:jc w:val="both"/>
        <w:rPr/>
      </w:pPr>
      <w:r>
        <w:rPr>
          <w:rFonts w:cs="Times New Roman" w:ascii="Times New Roman" w:hAnsi="Times New Roman"/>
          <w:color w:val="000000"/>
        </w:rPr>
        <w:t>2.1.b Educativa di strada</w:t>
      </w:r>
    </w:p>
    <w:p>
      <w:pPr>
        <w:pStyle w:val="Normal"/>
        <w:spacing w:lineRule="auto" w:line="276" w:before="0" w:after="0"/>
        <w:ind w:left="567"/>
        <w:jc w:val="both"/>
        <w:rPr/>
      </w:pPr>
      <w:r>
        <w:rPr>
          <w:rFonts w:cs="Times New Roman" w:ascii="Times New Roman" w:hAnsi="Times New Roman"/>
          <w:color w:val="000000"/>
        </w:rPr>
        <w:t>2.2. Patti educativi di comunità – Get up</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2.2_bis Spese per progetti Get up</w:t>
      </w:r>
    </w:p>
    <w:p>
      <w:pPr>
        <w:pStyle w:val="Normal"/>
        <w:spacing w:lineRule="auto" w:line="276" w:before="0" w:after="0"/>
        <w:ind w:left="567"/>
        <w:jc w:val="both"/>
        <w:rPr>
          <w:rStyle w:val="Hyperlink"/>
          <w:rFonts w:ascii="Times New Roman" w:hAnsi="Times New Roman" w:eastAsia="Times New Roman" w:cs="Times New Roman"/>
          <w:color w:val="000000"/>
          <w:kern w:val="2"/>
          <w:u w:val="none"/>
          <w:lang w:eastAsia="zh-CN"/>
        </w:rPr>
      </w:pPr>
      <w:r>
        <w:rPr>
          <w:rFonts w:eastAsia="Times New Roman" w:cs="Times New Roman" w:ascii="Times New Roman" w:hAnsi="Times New Roman"/>
          <w:color w:val="000000"/>
          <w:kern w:val="2"/>
          <w:u w:val="none"/>
          <w:lang w:eastAsia="zh-CN"/>
        </w:rPr>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3 – azioni educativa per la prevenzione dell’abbandono scolastico</w:t>
      </w:r>
    </w:p>
    <w:p>
      <w:pPr>
        <w:pStyle w:val="Normal"/>
        <w:spacing w:lineRule="auto" w:line="276" w:before="0" w:after="0"/>
        <w:ind w:left="567"/>
        <w:jc w:val="both"/>
        <w:rPr/>
      </w:pPr>
      <w:r>
        <w:rPr>
          <w:rFonts w:cs="Times New Roman" w:ascii="Times New Roman" w:hAnsi="Times New Roman"/>
          <w:color w:val="000000"/>
        </w:rPr>
        <w:t>3.1 Accompagnamento formazione-lavoro</w:t>
      </w:r>
    </w:p>
    <w:p>
      <w:pPr>
        <w:pStyle w:val="Normal"/>
        <w:spacing w:lineRule="auto" w:line="276" w:before="0" w:after="0"/>
        <w:ind w:left="567"/>
        <w:jc w:val="both"/>
        <w:rPr/>
      </w:pPr>
      <w:r>
        <w:rPr>
          <w:rFonts w:cs="Times New Roman" w:ascii="Times New Roman" w:hAnsi="Times New Roman"/>
          <w:color w:val="000000"/>
        </w:rPr>
        <w:t>3.2 Formazione mestieri</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3.3 Spese materiale</w:t>
      </w:r>
    </w:p>
    <w:p>
      <w:pPr>
        <w:pStyle w:val="Normal"/>
        <w:spacing w:lineRule="auto" w:line="276" w:before="0" w:after="0"/>
        <w:ind w:left="567"/>
        <w:jc w:val="both"/>
        <w:rPr>
          <w:rStyle w:val="Hyperlink"/>
          <w:rFonts w:ascii="Times New Roman" w:hAnsi="Times New Roman" w:eastAsia="Times New Roman" w:cs="Times New Roman"/>
          <w:color w:val="000000"/>
          <w:kern w:val="2"/>
          <w:u w:val="none"/>
          <w:lang w:eastAsia="zh-CN"/>
        </w:rPr>
      </w:pPr>
      <w:r>
        <w:rPr>
          <w:rFonts w:eastAsia="Times New Roman" w:cs="Times New Roman" w:ascii="Times New Roman" w:hAnsi="Times New Roman"/>
          <w:color w:val="000000"/>
          <w:kern w:val="2"/>
          <w:u w:val="none"/>
          <w:lang w:eastAsia="zh-CN"/>
        </w:rPr>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4 – accompagnamento e supporto alle figure genitoriali</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4.1 Accoglienza, dialogo e sostegno genitori</w:t>
      </w:r>
    </w:p>
    <w:p>
      <w:pPr>
        <w:pStyle w:val="Normal"/>
        <w:spacing w:lineRule="auto" w:line="276" w:before="0" w:after="0"/>
        <w:ind w:left="567"/>
        <w:jc w:val="both"/>
        <w:rPr>
          <w:rStyle w:val="Hyperlink"/>
          <w:rFonts w:ascii="Times New Roman" w:hAnsi="Times New Roman" w:eastAsia="Times New Roman" w:cs="Times New Roman"/>
          <w:color w:val="000000"/>
          <w:kern w:val="2"/>
          <w:u w:val="none"/>
          <w:lang w:eastAsia="zh-CN"/>
        </w:rPr>
      </w:pPr>
      <w:r>
        <w:rPr>
          <w:rFonts w:eastAsia="Times New Roman" w:cs="Times New Roman" w:ascii="Times New Roman" w:hAnsi="Times New Roman"/>
          <w:color w:val="000000"/>
          <w:kern w:val="2"/>
          <w:u w:val="none"/>
          <w:lang w:eastAsia="zh-CN"/>
        </w:rPr>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5 – accompagnamento psicologico ragazzi e promozione dell’intelligenza emotiva</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5.1 Accompagnamento psicologico ragazzi</w:t>
      </w:r>
    </w:p>
    <w:p>
      <w:pPr>
        <w:pStyle w:val="Normal"/>
        <w:spacing w:lineRule="auto" w:line="276" w:before="0" w:after="0"/>
        <w:ind w:left="567"/>
        <w:jc w:val="both"/>
        <w:rPr>
          <w:rStyle w:val="Hyperlink"/>
          <w:rFonts w:ascii="Times New Roman" w:hAnsi="Times New Roman" w:eastAsia="Times New Roman" w:cs="Times New Roman"/>
          <w:color w:val="000000"/>
          <w:kern w:val="2"/>
          <w:u w:val="none"/>
          <w:lang w:eastAsia="zh-CN"/>
        </w:rPr>
      </w:pPr>
      <w:r>
        <w:rPr>
          <w:rFonts w:eastAsia="Times New Roman" w:cs="Times New Roman" w:ascii="Times New Roman" w:hAnsi="Times New Roman"/>
          <w:color w:val="000000"/>
          <w:kern w:val="2"/>
          <w:u w:val="none"/>
          <w:lang w:eastAsia="zh-CN"/>
        </w:rPr>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6 – tirocini di inclusione</w:t>
      </w:r>
    </w:p>
    <w:p>
      <w:pPr>
        <w:pStyle w:val="Normal"/>
        <w:spacing w:lineRule="auto" w:line="276" w:before="0" w:after="0"/>
        <w:ind w:left="567"/>
        <w:rPr/>
      </w:pPr>
      <w:r>
        <w:rPr>
          <w:rFonts w:cs="Times New Roman" w:ascii="Times New Roman" w:hAnsi="Times New Roman"/>
          <w:color w:val="000000"/>
        </w:rPr>
        <w:t xml:space="preserve">6.1 Organizzazione e tutoraggio </w:t>
      </w:r>
    </w:p>
    <w:p>
      <w:pPr>
        <w:pStyle w:val="Normal"/>
        <w:spacing w:lineRule="auto" w:line="276" w:before="0" w:after="0"/>
        <w:ind w:left="567"/>
        <w:rPr/>
      </w:pPr>
      <w:r>
        <w:rPr>
          <w:rStyle w:val="Hyperlink"/>
          <w:rFonts w:eastAsia="Times New Roman" w:cs="Times New Roman" w:ascii="Times New Roman" w:hAnsi="Times New Roman"/>
          <w:color w:val="000000"/>
          <w:kern w:val="2"/>
          <w:u w:val="none"/>
          <w:lang w:eastAsia="zh-CN"/>
        </w:rPr>
        <w:t>6.2 Indennità di tirocinio</w:t>
      </w:r>
    </w:p>
    <w:p>
      <w:pPr>
        <w:pStyle w:val="Normal"/>
        <w:spacing w:lineRule="auto" w:line="276" w:before="0" w:after="0"/>
        <w:ind w:left="567"/>
        <w:rPr>
          <w:rStyle w:val="Hyperlink"/>
          <w:rFonts w:ascii="Times New Roman" w:hAnsi="Times New Roman" w:eastAsia="Times New Roman" w:cs="Times New Roman"/>
          <w:color w:val="000000"/>
          <w:kern w:val="2"/>
          <w:u w:val="none"/>
          <w:lang w:eastAsia="zh-CN"/>
        </w:rPr>
      </w:pPr>
      <w:r>
        <w:rPr>
          <w:rFonts w:eastAsia="Times New Roman" w:cs="Times New Roman" w:ascii="Times New Roman" w:hAnsi="Times New Roman"/>
          <w:color w:val="000000"/>
          <w:kern w:val="2"/>
          <w:u w:val="none"/>
          <w:lang w:eastAsia="zh-CN"/>
        </w:rPr>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Linea 7 – allestimento dello spazio multifunzionale di esperienza;</w:t>
      </w:r>
    </w:p>
    <w:p>
      <w:pPr>
        <w:pStyle w:val="Normal"/>
        <w:spacing w:lineRule="auto" w:line="276" w:before="0" w:after="0"/>
        <w:ind w:left="567"/>
        <w:jc w:val="both"/>
        <w:rPr/>
      </w:pPr>
      <w:r>
        <w:rPr>
          <w:rFonts w:cs="Times New Roman" w:ascii="Times New Roman" w:hAnsi="Times New Roman"/>
          <w:color w:val="000000"/>
        </w:rPr>
        <w:t xml:space="preserve">7.1 Spese attrezzature spazi multifunzionali di esperienza </w:t>
      </w:r>
    </w:p>
    <w:p>
      <w:pPr>
        <w:pStyle w:val="Normal"/>
        <w:spacing w:lineRule="auto" w:line="276" w:before="0" w:after="0"/>
        <w:ind w:left="567"/>
        <w:jc w:val="both"/>
        <w:rPr/>
      </w:pPr>
      <w:r>
        <w:rPr>
          <w:rStyle w:val="Hyperlink"/>
          <w:rFonts w:eastAsia="Times New Roman" w:cs="Times New Roman" w:ascii="Times New Roman" w:hAnsi="Times New Roman"/>
          <w:color w:val="000000"/>
          <w:kern w:val="2"/>
          <w:u w:val="none"/>
          <w:lang w:eastAsia="zh-CN"/>
        </w:rPr>
        <w:t>7.2 Interventi di tipo edilizio e relative spese tecniche</w:t>
      </w:r>
    </w:p>
    <w:p>
      <w:pPr>
        <w:pStyle w:val="Normal"/>
        <w:spacing w:lineRule="auto" w:line="276" w:before="0" w:after="0"/>
        <w:ind w:left="567"/>
        <w:jc w:val="both"/>
        <w:rPr>
          <w:rStyle w:val="Hyperlink"/>
          <w:rFonts w:ascii="Times New Roman" w:hAnsi="Times New Roman" w:eastAsia="Times New Roman" w:cs="Times New Roman"/>
          <w:color w:val="000000"/>
          <w:kern w:val="2"/>
          <w:u w:val="none"/>
          <w:lang w:eastAsia="zh-CN"/>
        </w:rPr>
      </w:pPr>
      <w:r>
        <w:rPr>
          <w:rFonts w:eastAsia="Times New Roman" w:cs="Times New Roman" w:ascii="Times New Roman" w:hAnsi="Times New Roman"/>
          <w:color w:val="000000"/>
          <w:kern w:val="2"/>
          <w:u w:val="none"/>
          <w:lang w:eastAsia="zh-CN"/>
        </w:rPr>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L’intervento  si inserisce quindi nella cornice del funzionamento complessivo dello Spazio Multifunzionale di Esperienza, che vede coinvolti altri soggetti, responsabili e titolari della gestione di altre attività, e nello specifico:</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 il Comune di Reggio Emilia, titolare del coordinamento strategico-programmatico dello Spazio Multifunzionale di Esperienza e referente dell’intera progettualità per il Ministero del Lavoro e delle Politiche Sociali. Tali attività sono comprese nella Linea 1 dell’Avviso Ministeriale;</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 xml:space="preserve">- l’ASP Reggio Emilia città delle persone, proprietaria degli spazi, responsabile dell’allestimento degli stessi e delle relative attività di sorveglianza, incaricata della gestione e del coordinamento delle attività aggregative e socioeducative realizzate presso lo SM, del coordinamento tecnico delle azioni previste dalla  linea 2 e della facilitazione del </w:t>
      </w:r>
      <w:r>
        <w:rPr>
          <w:rStyle w:val="Hyperlink"/>
          <w:rFonts w:eastAsia="Times New Roman" w:ascii="Times New Roman" w:hAnsi="Times New Roman"/>
          <w:color w:val="000000"/>
          <w:kern w:val="2"/>
          <w:u w:val="none"/>
          <w:lang w:eastAsia="zh-CN"/>
        </w:rPr>
        <w:t>Comitato di consultazione dei beneficiari formato da rappresentanti dei vari gruppi di ragazzi che frequentano lo spazio e/o le diverse azioni progettuali</w:t>
      </w:r>
      <w:r>
        <w:rPr>
          <w:rStyle w:val="Hyperlink"/>
          <w:rFonts w:eastAsia="Times New Roman" w:cs="Times New Roman" w:ascii="Times New Roman" w:hAnsi="Times New Roman"/>
          <w:color w:val="000000"/>
          <w:kern w:val="2"/>
          <w:u w:val="none"/>
          <w:lang w:eastAsia="zh-CN"/>
        </w:rPr>
        <w:t>. Tali attività sono comprese nello specifico alle attività previste nelle Linee 1, 2 e 7 dell’Avviso Ministeriale;</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 l’Ausl di Reggio Emilia, incaricata della gestione delle attività di accompagnamento psicologico ai ragazzi e promozione dell’intelligenza emotiva. Tali attività corrispondono a quelle previste dalla Linea 5 dell’Avviso Ministeriale;</w:t>
      </w:r>
    </w:p>
    <w:p>
      <w:pPr>
        <w:pStyle w:val="Normal"/>
        <w:spacing w:lineRule="auto" w:line="276" w:before="0" w:after="46"/>
        <w:jc w:val="both"/>
        <w:rPr/>
      </w:pPr>
      <w:r>
        <w:rPr>
          <w:rStyle w:val="Hyperlink"/>
          <w:rFonts w:eastAsia="Times New Roman" w:cs="Times New Roman" w:ascii="Times New Roman" w:hAnsi="Times New Roman"/>
          <w:color w:val="000000"/>
          <w:kern w:val="2"/>
          <w:u w:val="none"/>
          <w:lang w:eastAsia="zh-CN"/>
        </w:rPr>
        <w:t>- Una o più realtà esterne da selezionare mediante gara a evidenza pubblica, incaricate della gestione delle attività relative all’educativa di strada, ai patti educativi di comunità – Get up –, alle azioni educative per la prevenzione dell’abbandono scolastico e ai tirocini di inclusione. Tali attività afferiscono rispettivamente alla Linea 2 dell’Avviso Ministeriale  e  alle Linee 1, 3,4 e 6 dell’Avviso Ministeriale;</w:t>
      </w:r>
    </w:p>
    <w:p>
      <w:pPr>
        <w:pStyle w:val="BodyText"/>
        <w:jc w:val="both"/>
        <w:rPr/>
      </w:pPr>
      <w:r>
        <w:rPr>
          <w:rStyle w:val="Hyperlink"/>
          <w:rFonts w:eastAsia="Times New Roman" w:cs="Times New Roman" w:ascii="Times New Roman" w:hAnsi="Times New Roman"/>
          <w:b/>
          <w:color w:val="000000"/>
          <w:kern w:val="2"/>
          <w:u w:val="none"/>
          <w:lang w:eastAsia="zh-CN"/>
        </w:rPr>
        <w:t>L’output complessivo nel triennio di attività dei destinatari diretti delle attività è di 715 minori in fascia di età 11-18 e 95 giovani nella fascia di età 18-21 anni.  Lo spazio Multifunzione dovrà accogliere una media semestrale di 48 ragazzi/e al giorno.</w:t>
      </w:r>
    </w:p>
    <w:p>
      <w:pPr>
        <w:pStyle w:val="BodyText"/>
        <w:jc w:val="both"/>
        <w:rPr/>
      </w:pPr>
      <w:r>
        <w:rPr>
          <w:rStyle w:val="Hyperlink"/>
          <w:rFonts w:cs="Times New Roman" w:ascii="Times New Roman" w:hAnsi="Times New Roman"/>
          <w:color w:val="000000"/>
        </w:rPr>
        <w:t>La regia complessiva del progetto è attribuita alla Direzione Generale del Comune di Reggio Emilia</w:t>
      </w:r>
      <w:r>
        <w:rPr>
          <w:rFonts w:cs="Times New Roman" w:ascii="Times New Roman" w:hAnsi="Times New Roman"/>
          <w:color w:val="000000"/>
          <w:u w:val="single"/>
        </w:rPr>
        <w:t xml:space="preserve">. Il coordinamento strategico progettuale è assegnato al Servizio Officina Educativa - </w:t>
      </w:r>
      <w:r>
        <w:rPr>
          <w:rStyle w:val="Hyperlink"/>
          <w:rFonts w:eastAsia="Times New Roman" w:cs="Times New Roman" w:ascii="Times New Roman" w:hAnsi="Times New Roman"/>
          <w:color w:val="000000"/>
          <w:kern w:val="2"/>
          <w:lang w:eastAsia="zh-CN"/>
        </w:rPr>
        <w:t>Uoc “P</w:t>
      </w:r>
      <w:r>
        <w:rPr>
          <w:rStyle w:val="Hyperlink"/>
          <w:rFonts w:cs="Times New Roman" w:ascii="Times New Roman" w:hAnsi="Times New Roman"/>
          <w:color w:val="000000"/>
        </w:rPr>
        <w:t>artecipazione giovanile e benessere”, che cura il raccordo tra questo progetto ed il più ampio sistema delle politiche rivolte ad adolescenti e giovani della Città, anche in raccordo con il Tavolo distrettuale adolescenza.</w:t>
      </w:r>
    </w:p>
    <w:p>
      <w:pPr>
        <w:pStyle w:val="Normal"/>
        <w:spacing w:lineRule="auto" w:line="276" w:before="0" w:after="0"/>
        <w:jc w:val="both"/>
        <w:rPr>
          <w:rFonts w:ascii="Times New Roman" w:hAnsi="Times New Roman"/>
        </w:rPr>
      </w:pPr>
      <w:r>
        <w:rPr>
          <w:rFonts w:ascii="Times New Roman" w:hAnsi="Times New Roman"/>
        </w:rPr>
      </w:r>
    </w:p>
    <w:p>
      <w:pPr>
        <w:pStyle w:val="Normal"/>
        <w:widowControl w:val="false"/>
        <w:spacing w:lineRule="auto" w:line="276" w:before="100" w:after="0"/>
        <w:jc w:val="center"/>
        <w:rPr>
          <w:color w:val="000000"/>
        </w:rPr>
      </w:pPr>
      <w:r>
        <w:rPr>
          <w:color w:val="000000"/>
        </w:rPr>
      </w:r>
    </w:p>
    <w:p>
      <w:pPr>
        <w:pStyle w:val="Normal"/>
        <w:widowControl w:val="false"/>
        <w:spacing w:lineRule="auto" w:line="276" w:before="100" w:after="0"/>
        <w:jc w:val="center"/>
        <w:rPr/>
      </w:pPr>
      <w:r>
        <w:rPr>
          <w:rFonts w:eastAsia="Times New Roman" w:cs="Times New Roman" w:ascii="Times New Roman" w:hAnsi="Times New Roman"/>
          <w:b/>
          <w:color w:val="000000"/>
        </w:rPr>
        <w:t>Art. 3</w:t>
      </w:r>
    </w:p>
    <w:p>
      <w:pPr>
        <w:pStyle w:val="Normal"/>
        <w:widowControl w:val="false"/>
        <w:spacing w:lineRule="auto" w:line="276" w:before="100" w:after="0"/>
        <w:jc w:val="center"/>
        <w:rPr/>
      </w:pPr>
      <w:r>
        <w:rPr>
          <w:rFonts w:eastAsia="Times New Roman" w:cs="Times New Roman" w:ascii="Times New Roman" w:hAnsi="Times New Roman"/>
          <w:b/>
          <w:color w:val="000000"/>
        </w:rPr>
        <w:t>OBIETTIVI DEL PROGETTO</w:t>
      </w:r>
    </w:p>
    <w:p>
      <w:pPr>
        <w:pStyle w:val="ListParagraph"/>
        <w:spacing w:lineRule="auto" w:line="276" w:before="0" w:after="0"/>
        <w:ind w:left="0"/>
        <w:contextualSpacing/>
        <w:jc w:val="both"/>
        <w:rPr/>
      </w:pPr>
      <w:r>
        <w:rPr>
          <w:rFonts w:eastAsia="Times New Roman" w:cs="Times New Roman" w:ascii="Times New Roman" w:hAnsi="Times New Roman"/>
          <w:b/>
          <w:color w:val="000000"/>
        </w:rPr>
        <w:t>“</w:t>
      </w:r>
      <w:r>
        <w:rPr>
          <w:rFonts w:eastAsia="Times New Roman" w:cs="Times New Roman" w:ascii="Times New Roman" w:hAnsi="Times New Roman"/>
          <w:b/>
          <w:color w:val="000000"/>
        </w:rPr>
        <w:t xml:space="preserve">ZOOM - UN POSTO PER GIOVANI.” a valere sull’avviso pubblico “DesTEENazione – desideri in azione” </w:t>
      </w:r>
      <w:r>
        <w:rPr>
          <w:rFonts w:eastAsia="Times New Roman" w:cs="Times New Roman" w:ascii="Times New Roman" w:hAnsi="Times New Roman"/>
          <w:color w:val="000000"/>
        </w:rPr>
        <w:t>promuove la sperimentazione di un servizio multifunzionale integrato. Non e’ la somma di interventi, e’ un percorso unitario di un’équipe multidisciplinare capace di lavorare insieme pur nelle diverse appartenenze. A tutti gli attori coinvolti e sopra citati si richiede, pertanto, la capacità di tradurre ogni azione e intervento all’interno della metodologia del lavoro integrato con un approccio unitario avendo a riferimento l’ecosistema che compone il progetto.</w:t>
      </w:r>
    </w:p>
    <w:p>
      <w:pPr>
        <w:pStyle w:val="ListParagraph"/>
        <w:spacing w:lineRule="auto" w:line="276" w:before="0" w:after="0"/>
        <w:ind w:left="0"/>
        <w:contextualSpacing/>
        <w:jc w:val="both"/>
        <w:rPr/>
      </w:pPr>
      <w:r>
        <w:rPr>
          <w:rFonts w:eastAsia="Times New Roman" w:cs="Times New Roman" w:ascii="Times New Roman" w:hAnsi="Times New Roman"/>
          <w:color w:val="000000"/>
        </w:rPr>
        <w:t>Il progetto si propone di offrire servizi integrati di supporto educativo, psicologico e sociale  per favorire la partecipazione, lo sviluppo delle potenzialità, l’integrazione, l’inclusione sociale, il contrasto alla dispersione scolastica e la valorizzazione delle competenze affettive e relazionali dei preadolescenti e degli adolescenti del territorio (ragazze e ragazzi compresi tra gli 11/18 anni e tra 18-21 anni in carico ai servizi sociali o destinatari di azioni previste dalla Child Guarantee, che tra l'altro prevede il sostegno ai neomaggiorenni in uscita da un percorso di presa in carica a seguito di allontanamento dalla famiglia di origine sulla base di un provvedimento dell'autorità giudiziaria, c.d. care leavers) e le loro famiglie, al fine di facilitare la maturazione e lo sviluppo di competenze personali e sociali utili alla loro crescita individuale; realizzare attività laboratoriali, ricreative e culturali, promuovere la partecipazione attiva dei giovani alla vita della comunità, favorire lo sviluppo di competenze e abilità utili per l'autonomia, sostenere i percorsi di inclusione sociale di ragazzi e ragazze in situazioni di fragilità.</w:t>
      </w:r>
    </w:p>
    <w:p>
      <w:pPr>
        <w:pStyle w:val="Normal"/>
        <w:spacing w:lineRule="auto" w:line="276" w:before="0" w:after="0"/>
        <w:jc w:val="center"/>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276" w:before="0" w:after="0"/>
        <w:jc w:val="center"/>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276" w:before="0" w:after="0"/>
        <w:jc w:val="center"/>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276" w:before="0" w:after="0"/>
        <w:jc w:val="center"/>
        <w:rPr/>
      </w:pPr>
      <w:r>
        <w:rPr>
          <w:rFonts w:eastAsia="Times New Roman" w:cs="Times New Roman" w:ascii="Times New Roman" w:hAnsi="Times New Roman"/>
          <w:b/>
        </w:rPr>
        <w:t>Art. 4</w:t>
      </w:r>
    </w:p>
    <w:p>
      <w:pPr>
        <w:pStyle w:val="Normal"/>
        <w:spacing w:lineRule="auto" w:line="276" w:before="0" w:after="0"/>
        <w:ind w:hanging="360" w:left="426"/>
        <w:jc w:val="center"/>
        <w:rPr/>
      </w:pPr>
      <w:r>
        <w:rPr>
          <w:rFonts w:eastAsia="Times New Roman" w:cs="Times New Roman" w:ascii="Times New Roman" w:hAnsi="Times New Roman"/>
          <w:b/>
          <w:color w:val="000000"/>
        </w:rPr>
        <w:t xml:space="preserve">LINEE SPECIFICHE DI PROGETTAZIONE </w:t>
      </w:r>
    </w:p>
    <w:p>
      <w:pPr>
        <w:pStyle w:val="Normal"/>
        <w:spacing w:lineRule="auto" w:line="276" w:before="0" w:after="0"/>
        <w:jc w:val="center"/>
        <w:rPr>
          <w:rFonts w:ascii="Times New Roman" w:hAnsi="Times New Roman"/>
        </w:rPr>
      </w:pPr>
      <w:r>
        <w:rPr>
          <w:rFonts w:ascii="Times New Roman" w:hAnsi="Times New Roman"/>
        </w:rPr>
      </w:r>
    </w:p>
    <w:p>
      <w:pPr>
        <w:pStyle w:val="ListParagraph"/>
        <w:numPr>
          <w:ilvl w:val="0"/>
          <w:numId w:val="2"/>
        </w:numPr>
        <w:spacing w:lineRule="auto" w:line="276" w:before="0" w:after="0"/>
        <w:ind w:hanging="360" w:left="851"/>
        <w:contextualSpacing/>
        <w:rPr/>
      </w:pPr>
      <w:r>
        <w:rPr>
          <w:rFonts w:cs="Times New Roman" w:ascii="Times New Roman" w:hAnsi="Times New Roman"/>
          <w:b/>
          <w:bCs/>
          <w:shd w:fill="FFFFFF" w:val="clear"/>
        </w:rPr>
        <w:t>Linea 1 “Coordinamento del progetto”</w:t>
      </w:r>
    </w:p>
    <w:p>
      <w:pPr>
        <w:pStyle w:val="Normal"/>
        <w:spacing w:lineRule="auto" w:line="276" w:before="0" w:after="0"/>
        <w:jc w:val="both"/>
        <w:rPr/>
      </w:pPr>
      <w:r>
        <w:rPr>
          <w:rFonts w:cs="Times New Roman" w:ascii="Times New Roman" w:hAnsi="Times New Roman"/>
          <w:shd w:fill="FFFFFF" w:val="clear"/>
        </w:rPr>
        <w:t>Il Coordinatore strategico-programmatico (CSP), espresso dal Comune di Reggio Emilia,  sarà responsabile dell’andamento complessivo del progetto, della cos</w:t>
      </w:r>
      <w:r>
        <w:rPr>
          <w:rFonts w:cs="Times New Roman" w:ascii="Times New Roman" w:hAnsi="Times New Roman"/>
          <w:color w:val="000000"/>
          <w:shd w:fill="FFFFFF" w:val="clear"/>
        </w:rPr>
        <w:t xml:space="preserve">tituzione e della cura della rete con i soggetti istituzionali e con gli stakeholder del progetto, sia attraverso contatti diretti e dedicati, sia mediante la partecipazione ai diversi tavoli di lavoro. In quanto responsabile di progetto, il CSP curerà i rapporti con l’Autorità di Gestione (AdG) e avrà il compito di raccogliere e validare, con cadenza semestrale, la rendicontazione progettuale relativa alle attività svolte e al numero di beneficiari diretti e indiretti coinvolti. Si raccorderà inoltre con gli uffici amministrativi dell’ATS e delle altre organizzazioni che saranno incaricate della gestione delle diverse linee d’azione, in merito alla rendicontazione finanziaria dell’attività. Curerà </w:t>
      </w:r>
      <w:r>
        <w:rPr>
          <w:rFonts w:cs="Times New Roman" w:ascii="Times New Roman" w:hAnsi="Times New Roman"/>
          <w:color w:val="000000"/>
          <w:sz w:val="23"/>
        </w:rPr>
        <w:t>la promozione dei Patti educativi di comunità e il rispetto dell'attuazione della Child Protection Policy.</w:t>
      </w:r>
    </w:p>
    <w:p>
      <w:pPr>
        <w:pStyle w:val="Normal"/>
        <w:spacing w:lineRule="auto" w:line="276" w:before="0" w:after="0"/>
        <w:jc w:val="both"/>
        <w:rPr/>
      </w:pPr>
      <w:r>
        <w:rPr>
          <w:rFonts w:cs="Times New Roman" w:ascii="Times New Roman" w:hAnsi="Times New Roman"/>
          <w:color w:val="000000"/>
          <w:shd w:fill="FFFFFF" w:val="clear"/>
        </w:rPr>
        <w:t xml:space="preserve">Il CSP sarà inoltre il referente diretto per i due coordinatori tecnici (CT di qui in avanti), con i quali si riunirà in un “team di coordinamento” al quale saranno affidati la definizione degli step operativi di avvio e gestione del progetto, il suo monitoraggio in itinere, l’individuazione degli ambiti e delle modalità di connessione tra le diverse linee di attività, la coprogettazione e condivisione di aspetti di rilevanza generale, come la comunicazione di progetto. Il team di coordinamento si riunirà settimanalmente nelle fasi iniziali, per poi definire gli strumenti di aggiornamento e la periodicità delle riunioni più idonea allo svolgimento dei compiti a esso affidati. Si occuperà inoltre di monitorare periodicamente i dati funzionali alla rilevazione degli indicatori di output e di risultato che il CSP riporterà, a corredo della descrizione delle attività, nella relazione finale di progetto prevista dall’Avviso pubblico. </w:t>
      </w:r>
    </w:p>
    <w:p>
      <w:pPr>
        <w:pStyle w:val="Normal"/>
        <w:spacing w:lineRule="auto" w:line="276" w:before="0" w:after="0"/>
        <w:jc w:val="both"/>
        <w:rPr/>
      </w:pPr>
      <w:r>
        <w:rPr>
          <w:rFonts w:cs="Times New Roman" w:ascii="Times New Roman" w:hAnsi="Times New Roman"/>
          <w:color w:val="000000"/>
          <w:shd w:fill="FFFFFF" w:val="clear"/>
        </w:rPr>
        <w:t xml:space="preserve">Il Coordinatore Tecnico avrà responsabilità diretta sull’organizzazione del lavoro delle proprie équipe di riferimento, con le quali si riunirà a cadenza settimanale per la progettazione delle attività e degli interventi, la definizione di incarichi e responsabilità specifiche, il monitoraggio e la verifica di quanto concordato. </w:t>
      </w:r>
      <w:r>
        <w:rPr>
          <w:rFonts w:cs="Times New Roman" w:ascii="Times New Roman" w:hAnsi="Times New Roman"/>
          <w:b/>
          <w:bCs/>
          <w:color w:val="000000"/>
          <w:shd w:fill="FFFFFF" w:val="clear"/>
        </w:rPr>
        <w:t>All’interno di questa cornice ASP individuerà uno dei due CT per il coordinamento delle linee 2.1.a, 2.1.b, 2.2, mentre l’altro sarà espresso dal soggetto gestore delle  linee progettuali 3, 4 e 6 e coordinerà anche la linea 5.</w:t>
      </w:r>
    </w:p>
    <w:p>
      <w:pPr>
        <w:pStyle w:val="Normal"/>
        <w:spacing w:lineRule="auto" w:line="276" w:before="0" w:after="0"/>
        <w:jc w:val="both"/>
        <w:rPr/>
      </w:pPr>
      <w:r>
        <w:rPr>
          <w:rFonts w:cs="Times New Roman" w:ascii="Times New Roman" w:hAnsi="Times New Roman"/>
          <w:shd w:fill="FFFFFF" w:val="clear"/>
        </w:rPr>
        <w:t>I CT valorizzeranno le diverse competenze ed esperienze professionali, favorendo, in raccordo con i professionisti incaricati della supervisione previsti dalla linea 5, il lavoro in un ambiente collaborativo e predisposto al confronto generativo. La stessa propensione dovrà caratterizzare il confronto tra le diverse équipe e i professionisti che a esse afferiscono.</w:t>
      </w:r>
      <w:r>
        <w:rPr>
          <w:rFonts w:cs="Times New Roman" w:ascii="Times New Roman" w:hAnsi="Times New Roman"/>
          <w:color w:val="000000"/>
          <w:shd w:fill="FFFFFF" w:val="clear"/>
        </w:rPr>
        <w:t xml:space="preserve"> A tal fine sarà prevista una riunione, almeno bimestrale, di tutti gli operatori coinvolti nel progetto, co-progettata dal CSP e dai CT in un incontro del team di coordinamento e da loro condotta.</w:t>
      </w:r>
    </w:p>
    <w:p>
      <w:pPr>
        <w:pStyle w:val="Normal"/>
        <w:spacing w:lineRule="auto" w:line="276" w:before="0" w:after="0"/>
        <w:jc w:val="both"/>
        <w:rPr/>
      </w:pPr>
      <w:r>
        <w:rPr>
          <w:rFonts w:cs="Times New Roman" w:ascii="Times New Roman" w:hAnsi="Times New Roman"/>
          <w:b/>
          <w:bCs/>
          <w:color w:val="000000"/>
          <w:shd w:fill="FFFFFF" w:val="clear"/>
        </w:rPr>
        <w:t>Lo Spazio Multifunzionale sarà la sede di lavoro dei CT  e degli psicologi previsti dalla linea 4 e dalla linea 5</w:t>
      </w:r>
      <w:r>
        <w:rPr>
          <w:rFonts w:cs="Times New Roman" w:ascii="Times New Roman" w:hAnsi="Times New Roman"/>
          <w:color w:val="000000"/>
          <w:shd w:fill="FFFFFF" w:val="clear"/>
        </w:rPr>
        <w:t xml:space="preserve"> e pres</w:t>
      </w:r>
      <w:r>
        <w:rPr>
          <w:rFonts w:cs="Times New Roman" w:ascii="Times New Roman" w:hAnsi="Times New Roman"/>
          <w:shd w:fill="FFFFFF" w:val="clear"/>
        </w:rPr>
        <w:t>so lo stesso si svolgeranno anche tutti gli incontri con il CSP, che avrà in tal modo la possibilità di monitorare con regolarità la corretta organizzazione e tenuta degli spazi e delle strumentazioni, oltre che di osservare le tracce documentative delle attività svolte.</w:t>
      </w:r>
    </w:p>
    <w:p>
      <w:pPr>
        <w:pStyle w:val="Normal"/>
        <w:spacing w:lineRule="auto" w:line="276" w:before="0" w:after="0"/>
        <w:jc w:val="both"/>
        <w:rPr/>
      </w:pPr>
      <w:r>
        <w:rPr>
          <w:rFonts w:cs="Times New Roman" w:ascii="Times New Roman" w:hAnsi="Times New Roman"/>
        </w:rPr>
        <w:t>All’inizio del progetto il coordinatore tecnico programmatico, in raccordo con i due coordinatori tecnici,  definirà le modalità di comunicazione e di condivisione delle informazioni (sia formali che per le vie brevi) e dei documenti di progetto. A</w:t>
      </w:r>
      <w:r>
        <w:rPr>
          <w:rFonts w:cs="Times New Roman" w:ascii="Times New Roman" w:hAnsi="Times New Roman"/>
          <w:shd w:fill="FFFFFF" w:val="clear"/>
        </w:rPr>
        <w:t xml:space="preserve"> tal scopo l’ATS metterà a disposizione uno spazio dedicato sulla piattaforma NextCloud o altra piattaforma che verrà indicata, già in uso al Comune di RE, che permette caricamento, consultazione e lavoro online su documenti e report. L’utilizzo del cloud sarà regolato tramite meccanismi di sicurezza e identificazione (credenziali, accessi limitati, eventuale crittazione di file specifici) per garantire il pieno rispetto della normativa sulla protezione dei dati.</w:t>
      </w:r>
    </w:p>
    <w:p>
      <w:pPr>
        <w:pStyle w:val="Normal"/>
        <w:spacing w:lineRule="auto" w:line="276" w:before="0" w:after="0"/>
        <w:jc w:val="both"/>
        <w:rPr/>
      </w:pPr>
      <w:r>
        <w:rPr>
          <w:rFonts w:cs="Times New Roman" w:ascii="Times New Roman" w:hAnsi="Times New Roman"/>
          <w:shd w:fill="FFFFFF" w:val="clear"/>
        </w:rPr>
        <w:t>Per garantire l’effettiva e piena integrazione delle attività dello SM con</w:t>
      </w:r>
      <w:r>
        <w:rPr>
          <w:rFonts w:cs="Times New Roman" w:ascii="Times New Roman" w:hAnsi="Times New Roman"/>
        </w:rPr>
        <w:t xml:space="preserve"> la rete dei servizi e le politiche di territorio si prevedono incontri semestrali del team di coordinamento con i divers</w:t>
      </w:r>
      <w:r>
        <w:rPr>
          <w:rFonts w:cs="Times New Roman" w:ascii="Times New Roman" w:hAnsi="Times New Roman"/>
          <w:shd w:fill="FFFFFF" w:val="clear"/>
        </w:rPr>
        <w:t xml:space="preserve">i referenti istituzionali dei servizi sociali, educativi e sanitari e con la </w:t>
      </w:r>
      <w:r>
        <w:rPr>
          <w:rFonts w:eastAsia="Times New Roman" w:cs="Times New Roman" w:ascii="Times New Roman" w:hAnsi="Times New Roman"/>
          <w:shd w:fill="FFFFFF" w:val="clear"/>
        </w:rPr>
        <w:t>cabina di regia in capo alla Direzione Generale (vedi art.9)</w:t>
      </w:r>
      <w:r>
        <w:rPr>
          <w:rFonts w:cs="Times New Roman" w:ascii="Times New Roman" w:hAnsi="Times New Roman"/>
          <w:color w:val="000000"/>
          <w:shd w:fill="FFFFFF" w:val="clear"/>
        </w:rPr>
        <w:t>. A questo livello sarà inoltre condiviso il processo organizzativo (calendario, meccanismi di selezione e rappresen</w:t>
      </w:r>
      <w:r>
        <w:rPr>
          <w:rFonts w:cs="Times New Roman" w:ascii="Times New Roman" w:hAnsi="Times New Roman"/>
          <w:shd w:fill="FFFFFF" w:val="clear"/>
        </w:rPr>
        <w:t>tanza ecc) del Comitato di consultazione dei beneficiari e del Comitato di gestione paritetico e potranno essere definite le linee di indirizzo generali (ambiti di intervento, collaborazione con i servizi degli enti pubblici in relazione a politiche e servizi specifici, come per esempio ambiente, mobilità, cultura ecc) per i patti educativi di comunità.</w:t>
      </w:r>
    </w:p>
    <w:p>
      <w:pPr>
        <w:pStyle w:val="Normal"/>
        <w:spacing w:lineRule="auto" w:line="276" w:before="0" w:after="0"/>
        <w:jc w:val="both"/>
        <w:rPr/>
      </w:pPr>
      <w:r>
        <w:rPr>
          <w:rFonts w:cs="Times New Roman" w:ascii="Times New Roman" w:hAnsi="Times New Roman"/>
          <w:shd w:fill="FFFFFF" w:val="clear"/>
        </w:rPr>
        <w:t>Partecipazione e rappresentanza sono temi cruciali nella costruzione e conduzione di politiche e servizi per i giovani e hanno una lunga storia nell’ATS;</w:t>
      </w:r>
    </w:p>
    <w:p>
      <w:pPr>
        <w:pStyle w:val="Normal"/>
        <w:spacing w:lineRule="auto" w:line="276" w:before="0" w:after="0"/>
        <w:jc w:val="both"/>
        <w:rPr/>
      </w:pPr>
      <w:r>
        <w:rPr>
          <w:rFonts w:cs="Times New Roman" w:ascii="Times New Roman" w:hAnsi="Times New Roman"/>
          <w:shd w:fill="FFFFFF" w:val="clear"/>
        </w:rPr>
        <w:t>La costituzione e l'accompagnamento di un Comitato di consultazione dei beneficiari formato dai rappresentanti dei gruppi di ragazzi che frequenteranno lo SM, avverrà tramite la facilitazione, da parte di un operatore adeguatamente formato,</w:t>
      </w:r>
      <w:r>
        <w:rPr>
          <w:rFonts w:cs="Times New Roman" w:ascii="Times New Roman" w:hAnsi="Times New Roman"/>
          <w:color w:val="000000"/>
          <w:shd w:fill="FFFFFF" w:val="clear"/>
        </w:rPr>
        <w:t xml:space="preserve"> sia per il  percorso costituente (raccolta di bisogni e desideri interni ai gruppi e della loro rappresentanza), sia  per la manutenzione del funzionamento degli organismi (messa in campo di pratiche dialogiche di confronto intra ed inter-generazionale). Si darà rappresentanza ai gruppi che frequentano lo SM, ed a quelli che frequentano le azioni progettuali anche afferenti alle altre linee, tenendo conto delle differenti attività, delle età e del gender balance, così da dare rappresentanza a voci diverse e alle molteplici modalità di fruizione dello SM.</w:t>
      </w:r>
    </w:p>
    <w:p>
      <w:pPr>
        <w:pStyle w:val="Normal"/>
        <w:spacing w:lineRule="auto" w:line="276" w:before="0" w:after="0"/>
        <w:jc w:val="both"/>
        <w:rPr/>
      </w:pPr>
      <w:r>
        <w:rPr>
          <w:rFonts w:cs="Times New Roman" w:ascii="Times New Roman" w:hAnsi="Times New Roman"/>
          <w:color w:val="000000"/>
          <w:shd w:fill="FFFFFF" w:val="clear"/>
        </w:rPr>
        <w:t>Le metodologie proposte saranno discusse e riviste nel corso dell’attività del Comitato, al fine di garantire l’esistenza e l’efficacia del dispositivo, ma anche con l’obiettivo che esso possa essere il più possib</w:t>
      </w:r>
      <w:r>
        <w:rPr>
          <w:rFonts w:cs="Times New Roman" w:ascii="Times New Roman" w:hAnsi="Times New Roman"/>
          <w:shd w:fill="FFFFFF" w:val="clear"/>
        </w:rPr>
        <w:t xml:space="preserve">ile rappresentativo delle istanze di tutti gli utenti dello SM, anche di chi ha necessità di tempi o metodi diversi per esprimere la propria voce. </w:t>
      </w:r>
    </w:p>
    <w:p>
      <w:pPr>
        <w:pStyle w:val="Normal"/>
        <w:spacing w:lineRule="auto" w:line="276" w:before="0" w:after="0"/>
        <w:jc w:val="both"/>
        <w:rPr>
          <w:rFonts w:ascii="Times New Roman" w:hAnsi="Times New Roman"/>
        </w:rPr>
      </w:pPr>
      <w:r>
        <w:rPr>
          <w:rFonts w:ascii="Times New Roman" w:hAnsi="Times New Roman"/>
        </w:rPr>
      </w:r>
    </w:p>
    <w:p>
      <w:pPr>
        <w:pStyle w:val="Normal"/>
        <w:numPr>
          <w:ilvl w:val="0"/>
          <w:numId w:val="6"/>
        </w:numPr>
        <w:spacing w:lineRule="auto" w:line="276" w:before="0" w:after="0"/>
        <w:rPr/>
      </w:pPr>
      <w:r>
        <w:rPr>
          <w:rFonts w:cs="Times New Roman" w:ascii="Times New Roman" w:hAnsi="Times New Roman"/>
          <w:b/>
          <w:bCs/>
          <w:color w:val="000000"/>
          <w:shd w:fill="FFFFFF" w:val="clear"/>
        </w:rPr>
        <w:t>Linea 5 e 5.1“Accompagnamento psicologico ragazzi e promozione dell’intelligenza emotiva”</w:t>
      </w:r>
    </w:p>
    <w:p>
      <w:pPr>
        <w:pStyle w:val="Normal"/>
        <w:spacing w:lineRule="auto" w:line="276"/>
        <w:jc w:val="both"/>
        <w:rPr/>
      </w:pPr>
      <w:r>
        <w:rPr>
          <w:rFonts w:cs="Times New Roman" w:ascii="Times New Roman" w:hAnsi="Times New Roman"/>
          <w:color w:val="000000"/>
          <w:shd w:fill="FFFFFF" w:val="clear"/>
        </w:rPr>
        <w:t>L’accompagnamento si declinerà in un punto di accesso territoriale finalizzato allo sviluppo del benessere psicologico e relazionale in adolescenza, che opererà in sinergia con Open G, lo spazio giovani gratuito dell’AUSL, a cui i ragazzi dai 14 anni possono accedere, previo contatto, per una consulenza psicol</w:t>
      </w:r>
      <w:r>
        <w:rPr>
          <w:rFonts w:cs="Times New Roman" w:ascii="Times New Roman" w:hAnsi="Times New Roman"/>
          <w:color w:val="000000"/>
        </w:rPr>
        <w:t xml:space="preserve">ogica. </w:t>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In coerenza con la funzione socio-educativa dello SME, anche l’intervento psicologico si declinerà in un approccio non clinico, ma psico-educativo, di prevenzione del disagio e promozione del benessere, sviluppo dell’empowerment e rinforzo dell’autoconsapevolezza e di “soft skills” socio-relazionali. Ogni attività proposta tenderà pertanto al miglioramento della consapevolezza di sé e allo sviluppo di competenze affettive, relazionali e di gestione delle emozioni. Lo spazio di ascolto (SdA) sarà in rete con i percorsi di stepped-care ascendente, già operativi, che garantiscono, in caso di necessità, tempestività di accesso a percorsi clinici sanitari (OPEN G TERRITORIALE E/O NPIA/SER.DP e CSM dell’AUSL RE).</w:t>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Per rispondere ai diversi bisogni dei ragazzi in ottica di prevenzione, si ipotizzano differenti livelli di intervento e modalità di accesso, in una gamma che va dall’offerta per le scuole di attività di promozione del benessere psicologico rivolte a gruppi classe (prevenzione universale), a percorsi gruppali su bisogni/domande relativi a specifiche problematiche portate dai partecipanti e/o  ad attività extrascolastiche dello SME (prevenzione selettiva) o a quelli espressi da domande che richiedono ascolto e consulenza individuale (prevenzione indicata).</w:t>
      </w:r>
    </w:p>
    <w:p>
      <w:pPr>
        <w:pStyle w:val="ListParagraph"/>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L’accesso individuale allo sportello psicologico di ascolto dello SME potrà avvenire tramite autocandidatura, su proposta di operatori del territorio, dei Servizi Sociali o la rete degli spazi di ascolto scolastici. In caso di accesso spontaneo allo sportello di ascolto si provvederà, in un momento immediatamente successivo al primo ascolto, a prendere contatti con la famiglia per i consensi, qualora necessari. Sarà individuato uno spazio dello SME, allestito e collocato in coerenza con i principi dell’accessibilità e della garanzia di riservatezza.</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t>Per la fascia 11-13, invece, sarà possibile accedere allo SdA solo previo consenso dei genitori, da raccogliere al momento dell’iscrizione alle altre attività dello SME.</w:t>
      </w:r>
    </w:p>
    <w:p>
      <w:pPr>
        <w:pStyle w:val="ListParagraph"/>
        <w:jc w:val="both"/>
        <w:rPr>
          <w:rFonts w:ascii="Times New Roman" w:hAnsi="Times New Roman" w:cs="Times New Roman"/>
          <w:shd w:fill="FFFFFF" w:val="clear"/>
        </w:rPr>
      </w:pPr>
      <w:r>
        <w:rPr>
          <w:rFonts w:cs="Times New Roman" w:ascii="Times New Roman" w:hAnsi="Times New Roman"/>
          <w:shd w:fill="FFFFFF" w:val="clear"/>
        </w:rPr>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La consulenza nello SdA sarà orientata in primis all’ascolto della specifica domanda portata e alla sua risoluzione, nell’ottica del rinforzo dell’autonomia e della capacità personale di trovare le soluzioni appropriate a fronte di adeguate informazioni sulle risorse della rete territoriale sulle quali orientarsi, secondo una metodologia ispirata ad una logica di “stepped care” già in essere da diversi anni in altri SdA (rete consultoriale degli Spazi giovani dell’AUSL RE – OPEN G).</w:t>
      </w:r>
    </w:p>
    <w:p>
      <w:pPr>
        <w:pStyle w:val="ListParagraph"/>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Sarà prioritario il raccordo con la rete sportelli d’ascolto delle scuole secondarie di 1°e 2° grado, che a partire dall’a. s. 2024/25 ha, in virtù di un accordo sottoscritto tra Ambito Territoriale Sociale (di seguito denominata ATS) e scuole, un coordinamento territoriale che è luogo di riflessione sui bisogni emergenti, sulle modalità di intervento e raccordo con la rete dei servizi educativi, sociali e sanitari e di formazione/aggiornamento su tematiche di rilievo.</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t>Le attività di gruppo e laboratoriali realizzate nelle scuole secondarie di 1° e 2° grado e presso lo SME, faranno riferimento al “Metodo integrato dell’educazione socio-affettiva” (“Star bene insieme a scuola” di D. Francescato – A. Putton, Carocci editore) e al programma “Life skills Education” (OMS, 1994) e saranno finalizzate a:</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t>- supportare le abilità sociali ed emotive (capacità relazionali e comunicative, gestione delle emozioni, dell’ansia e dello stress, empatia, ecc) e la capacità di fronteggiamento di situazioni di esposizione personale (interrogazioni o altri momenti in cui è richiesta una forte performatività)</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t>- sostenere la riflessione sulle dinamiche relazionali, meccanismi di inclusione, esclusione o appartenenza a gruppi, con particolare attenzione alla vita onlife e alle esperienze su social network e piattaforme digitali e di gioco più utilizzate, per approfondire il tema dei rischi legati a un utilizzo non consapevole, non controllato e problematico delle tecnologie.</w:t>
      </w:r>
    </w:p>
    <w:p>
      <w:pPr>
        <w:pStyle w:val="ListParagraph"/>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hanging="737" w:left="720"/>
        <w:jc w:val="both"/>
        <w:rPr/>
      </w:pPr>
      <w:r>
        <w:rPr>
          <w:rFonts w:cs="Times New Roman" w:ascii="Times New Roman" w:hAnsi="Times New Roman"/>
          <w:color w:val="000000"/>
          <w:shd w:fill="FFFFFF" w:val="clear"/>
        </w:rPr>
        <w:t>Attività previste:</w:t>
      </w:r>
    </w:p>
    <w:p>
      <w:pPr>
        <w:pStyle w:val="Normal"/>
        <w:spacing w:before="0" w:after="0"/>
        <w:ind w:hanging="113"/>
        <w:jc w:val="both"/>
        <w:rPr/>
      </w:pPr>
      <w:r>
        <w:rPr>
          <w:rFonts w:cs="Times New Roman" w:ascii="Times New Roman" w:hAnsi="Times New Roman"/>
          <w:color w:val="000000"/>
          <w:shd w:fill="FFFFFF" w:val="clear"/>
        </w:rPr>
        <w:t>- Laboratori finalizzati allo star bene a scuola e alla prevenzione universale, nelle scuole secondarie di 1° e 2° grado, a partire dalle classi prime delle scuole secondarie di primo grado, per facilitare la costituzione del gruppo e un positivo clima di classe;</w:t>
      </w:r>
    </w:p>
    <w:p>
      <w:pPr>
        <w:pStyle w:val="Normal"/>
        <w:spacing w:before="0" w:after="0"/>
        <w:ind w:hanging="113"/>
        <w:jc w:val="both"/>
        <w:rPr/>
      </w:pPr>
      <w:r>
        <w:rPr>
          <w:rFonts w:cs="Times New Roman" w:ascii="Times New Roman" w:hAnsi="Times New Roman"/>
          <w:color w:val="000000"/>
          <w:shd w:fill="FFFFFF" w:val="clear"/>
        </w:rPr>
        <w:t>- incontri in/formativi sulla conoscenza, gestione delle emozioni, moderazione e gestione dell’ansia, sviluppo di  dinamiche relazionali positive, anche attraverso la promozione di azioni di peer education;</w:t>
      </w:r>
    </w:p>
    <w:p>
      <w:pPr>
        <w:pStyle w:val="Normal"/>
        <w:tabs>
          <w:tab w:val="clear" w:pos="720"/>
          <w:tab w:val="left" w:pos="846" w:leader="none"/>
        </w:tabs>
        <w:spacing w:before="0" w:after="0"/>
        <w:ind w:hanging="850" w:left="720"/>
        <w:jc w:val="both"/>
        <w:rPr/>
      </w:pPr>
      <w:r>
        <w:rPr>
          <w:rFonts w:cs="Times New Roman" w:ascii="Times New Roman" w:hAnsi="Times New Roman"/>
          <w:color w:val="000000"/>
          <w:shd w:fill="FFFFFF" w:val="clear"/>
        </w:rPr>
        <w:t>- laboratori o discussioni di gruppo su intelligenza emotiva e sviluppo di competenze affettive e relazionali;</w:t>
      </w:r>
    </w:p>
    <w:p>
      <w:pPr>
        <w:pStyle w:val="Normal"/>
        <w:tabs>
          <w:tab w:val="clear" w:pos="720"/>
          <w:tab w:val="left" w:pos="846" w:leader="none"/>
        </w:tabs>
        <w:spacing w:before="0" w:after="0"/>
        <w:ind w:hanging="850" w:left="720"/>
        <w:jc w:val="both"/>
        <w:rPr/>
      </w:pPr>
      <w:r>
        <w:rPr>
          <w:rFonts w:cs="Times New Roman" w:ascii="Times New Roman" w:hAnsi="Times New Roman"/>
          <w:color w:val="000000"/>
          <w:shd w:fill="FFFFFF" w:val="clear"/>
        </w:rPr>
        <w:t>- approfondimento per piccoli gruppi, su tematiche specifiche secondo la metodologia del “circle time”;</w:t>
      </w:r>
    </w:p>
    <w:p>
      <w:pPr>
        <w:pStyle w:val="Normal"/>
        <w:tabs>
          <w:tab w:val="clear" w:pos="720"/>
          <w:tab w:val="left" w:pos="846" w:leader="none"/>
        </w:tabs>
        <w:spacing w:before="0" w:after="0"/>
        <w:ind w:hanging="113"/>
        <w:jc w:val="both"/>
        <w:rPr/>
      </w:pPr>
      <w:r>
        <w:rPr>
          <w:rFonts w:cs="Times New Roman" w:ascii="Times New Roman" w:hAnsi="Times New Roman"/>
          <w:color w:val="000000"/>
          <w:shd w:fill="FFFFFF" w:val="clear"/>
        </w:rPr>
        <w:t>- incontri di gruppo per il sostegno nella gestione dell’emotività e delle frustrazioni legate alla performatività in ambito scolastico.</w:t>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In merito all’attività di raccordo con i servizi sociosanitari, e con lo Spazio giovani OPENG dell’AUSL RE, gli psicologi dello SME potranno avvalersi delle competenze di gestione e supervisione degli operatori dello OPENG dell’AUSL RE, già esperti per la loro attività ordinaria delle metodologie sopra citate in tutte le loro declinazioni (individuali e gruppali).</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Il raccordo con i servizi sanitari, sia nella lettura dei fenomeni che nella definizione e nel consolidamento dei percorsi di orientamento al progetto di vita, è di cruciale importanza per lavorare in quella “zona grigia” di disagio preadolescenziale e adolescenziale che necessita di orientamento e progetti personalizzati, ma che non si esprime in forme tali da richiedere un intervento sanitario. Il collegamento con i servizi della salute mentale di secondo livello (NPIA, Centri di salute mentale e per le dipendenze patologiche), sarà garantito, in caso di necessità, tramite accesso diretto, secondo una logica stepped care ascendente.</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Sarà cura del coordinamento di progetto (Coordinatore Strategico Programmatico e Coordinatore Tecnico, referente per questa linea di azione) curare le relazioni con i servizi sociali, ai fini della promozione dello spazio d’ascolto dello SME e per collaborazioni mirate su situazioni specifiche, per la quale siano da prevedere confronti con assistenti sociali, partecipazione degli operatori dello SME a incontri di rete in merito a progetti individualizzati di presa in carico e accompagnamento.</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Lo spazio d’ascolto sarà inoltre collegato alle altre attività dello SME e alla rete dei servizi e delle attività educative e di aggregazione del territorio. Sarà cura dei coordinatori far conoscere alle agenzie educative le modalità di accesso e funzionamento dello spazio d’ascolto, nonché definire modalità operative di raccordo e reciproco orientamento.</w:t>
      </w:r>
    </w:p>
    <w:p>
      <w:pPr>
        <w:pStyle w:val="ListParagraph"/>
        <w:ind w:left="0"/>
        <w:jc w:val="both"/>
        <w:rPr>
          <w:rFonts w:ascii="Times New Roman" w:hAnsi="Times New Roman" w:cs="Times New Roman"/>
          <w:shd w:fill="FFFFFF" w:val="clear"/>
        </w:rPr>
      </w:pPr>
      <w:r>
        <w:rPr>
          <w:rFonts w:cs="Times New Roman" w:ascii="Times New Roman" w:hAnsi="Times New Roman"/>
          <w:shd w:fill="FFFFFF" w:val="clear"/>
        </w:rPr>
      </w:r>
    </w:p>
    <w:p>
      <w:pPr>
        <w:pStyle w:val="ListParagraph"/>
        <w:spacing w:before="0" w:after="0"/>
        <w:ind w:left="0"/>
        <w:contextualSpacing/>
        <w:jc w:val="both"/>
        <w:rPr>
          <w:rFonts w:ascii="Times New Roman" w:hAnsi="Times New Roman" w:cs="Times New Roman"/>
          <w:shd w:fill="FFFFFF" w:val="clear"/>
        </w:rPr>
      </w:pPr>
      <w:r>
        <w:rPr>
          <w:rFonts w:cs="Times New Roman" w:ascii="Times New Roman" w:hAnsi="Times New Roman"/>
          <w:color w:val="000000"/>
          <w:shd w:fill="FFFFFF" w:val="clear"/>
        </w:rPr>
        <w:t>L’attività di supervisione all’équipe socioeducativa si svolgerà a cadenza almeno quindicinale. Essa potrà, a seconda degli oggetti di lavoro, riguardare l’intero gruppo di lavoro o essere realizzata in sottogruppi (dividendo il personale educativo per funzione ambiti di intervento). Gli interventi verteranno principalmente su due aspetti:</w:t>
      </w:r>
    </w:p>
    <w:p>
      <w:pPr>
        <w:pStyle w:val="Normal"/>
        <w:spacing w:before="0" w:after="0"/>
        <w:jc w:val="both"/>
        <w:rPr>
          <w:rFonts w:ascii="Times New Roman" w:hAnsi="Times New Roman" w:cs="Times New Roman"/>
          <w:color w:val="000000"/>
          <w:shd w:fill="FFFFFF" w:val="clear"/>
        </w:rPr>
      </w:pPr>
      <w:r>
        <w:rPr>
          <w:rFonts w:cs="Times New Roman" w:ascii="Times New Roman" w:hAnsi="Times New Roman"/>
          <w:color w:val="000000"/>
          <w:shd w:fill="FFFFFF" w:val="clear"/>
        </w:rPr>
        <w:t>- analisi delle dinamiche interne all’equipe e la relazione con i soggetti esterni, con l’obiettivo di sostenere l’attività del gruppo di lavoro e analizzare come le strategie operative e i processi relazionali influenzano il lavoro educativo e si ripercuotono sugli utenti;</w:t>
      </w:r>
    </w:p>
    <w:p>
      <w:pPr>
        <w:pStyle w:val="Normal"/>
        <w:spacing w:before="0" w:after="0"/>
        <w:jc w:val="both"/>
        <w:rPr>
          <w:rFonts w:ascii="Times New Roman" w:hAnsi="Times New Roman" w:cs="Times New Roman"/>
          <w:color w:val="000000"/>
          <w:shd w:fill="FFFFFF" w:val="clear"/>
        </w:rPr>
      </w:pPr>
      <w:r>
        <w:rPr>
          <w:rFonts w:cs="Times New Roman" w:ascii="Times New Roman" w:hAnsi="Times New Roman"/>
          <w:color w:val="000000"/>
          <w:shd w:fill="FFFFFF" w:val="clear"/>
        </w:rPr>
        <w:t>- revisione e analisi dell’attività in corso con i diversi gruppi di utenti dello SME, anche in funzione della rilettura del proprio ruolo e delle strategie comportamentali messe in atto.</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color w:val="FF3838"/>
          <w:shd w:fill="FFFFFF" w:val="clear"/>
        </w:rPr>
      </w:pPr>
      <w:r>
        <w:rPr>
          <w:rFonts w:cs="Times New Roman" w:ascii="Times New Roman" w:hAnsi="Times New Roman"/>
          <w:color w:val="000000"/>
          <w:shd w:fill="FFFFFF" w:val="clear"/>
        </w:rPr>
        <w:t>Quello degli incontri di supervisione sarà uno spazio partecipato, teorico ed esperienziale, che avrà le sue regole di funzionamento ma saprà adattarsi alle esigenze e ai bisogni del gruppo/sottogruppi di lavoro. Le situazioni</w:t>
      </w:r>
      <w:r>
        <w:rPr>
          <w:rFonts w:cs="Times New Roman" w:ascii="Times New Roman" w:hAnsi="Times New Roman"/>
          <w:color w:val="FF3838"/>
          <w:shd w:fill="FFFFFF" w:val="clear"/>
        </w:rPr>
        <w:t xml:space="preserve"> </w:t>
      </w:r>
      <w:r>
        <w:rPr>
          <w:rFonts w:cs="Times New Roman" w:ascii="Times New Roman" w:hAnsi="Times New Roman"/>
          <w:color w:val="000000"/>
          <w:shd w:fill="FFFFFF" w:val="clear"/>
        </w:rPr>
        <w:t>concrete e le dinamiche relazionali potranno essere analizzate attraverso analisi di casi, role play, discussione in gruppo con facilitazione. Gli psicologi porteranno inoltre contributi di approfondimento su temi importanti per il lavoro in situazione con preadolescenti e adolescenti (compiti evolutivi di questa età, tema dell’identità, ruolo e impatto delle tecnologie sulle relazioni, dipendenze ecc…), a partire da contributi teorici ma anche da riflessioni e tracce documentative delle attività dello SME o nelle scuole, film, video sui social prodotti da adolescenti o da influencer ecc.</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spacing w:before="0" w:after="0"/>
        <w:ind w:left="0"/>
        <w:contextualSpacing/>
        <w:jc w:val="both"/>
        <w:rPr>
          <w:rFonts w:ascii="Times New Roman" w:hAnsi="Times New Roman" w:cs="Times New Roman"/>
          <w:shd w:fill="FFFFFF" w:val="clear"/>
        </w:rPr>
      </w:pPr>
      <w:r>
        <w:rPr>
          <w:rFonts w:cs="Times New Roman" w:ascii="Times New Roman" w:hAnsi="Times New Roman"/>
          <w:color w:val="000000"/>
          <w:shd w:fill="FFFFFF" w:val="clear"/>
        </w:rPr>
        <w:t>Gli psicologi potranno inoltre svolgere attività di consulenza agli altri professionisti che operano presso lo SME attraverso:</w:t>
      </w:r>
    </w:p>
    <w:p>
      <w:pPr>
        <w:pStyle w:val="Normal"/>
        <w:spacing w:before="0" w:after="0"/>
        <w:jc w:val="both"/>
        <w:rPr>
          <w:rFonts w:ascii="Times New Roman" w:hAnsi="Times New Roman" w:cs="Times New Roman"/>
          <w:color w:val="000000"/>
          <w:shd w:fill="FFFFFF" w:val="clear"/>
        </w:rPr>
      </w:pPr>
      <w:r>
        <w:rPr>
          <w:rFonts w:cs="Times New Roman" w:ascii="Times New Roman" w:hAnsi="Times New Roman"/>
          <w:color w:val="000000"/>
          <w:shd w:fill="FFFFFF" w:val="clear"/>
        </w:rPr>
        <w:t>- colloqui individuali a richiesta in relazione a bisogni o dinamiche personali;</w:t>
      </w:r>
    </w:p>
    <w:p>
      <w:pPr>
        <w:pStyle w:val="Normal"/>
        <w:spacing w:before="0" w:after="0"/>
        <w:jc w:val="both"/>
        <w:rPr>
          <w:rFonts w:ascii="Times New Roman" w:hAnsi="Times New Roman" w:cs="Times New Roman"/>
          <w:color w:val="000000"/>
          <w:shd w:fill="FFFFFF" w:val="clear"/>
        </w:rPr>
      </w:pPr>
      <w:r>
        <w:rPr>
          <w:rFonts w:cs="Times New Roman" w:ascii="Times New Roman" w:hAnsi="Times New Roman"/>
          <w:color w:val="000000"/>
          <w:shd w:fill="FFFFFF" w:val="clear"/>
        </w:rPr>
        <w:t>- partecipazione a momenti specifici delle riunioni di équipe per un confronto su situazioni particolari;</w:t>
      </w:r>
    </w:p>
    <w:p>
      <w:pPr>
        <w:pStyle w:val="Normal"/>
        <w:spacing w:before="0" w:after="0"/>
        <w:jc w:val="both"/>
        <w:rPr>
          <w:rFonts w:ascii="Times New Roman" w:hAnsi="Times New Roman" w:cs="Times New Roman"/>
          <w:color w:val="000000"/>
          <w:shd w:fill="FFFFFF" w:val="clear"/>
        </w:rPr>
      </w:pPr>
      <w:r>
        <w:rPr>
          <w:rFonts w:cs="Times New Roman" w:ascii="Times New Roman" w:hAnsi="Times New Roman"/>
          <w:color w:val="000000"/>
          <w:shd w:fill="FFFFFF" w:val="clear"/>
        </w:rPr>
        <w:t>- affiancamento agli educatori nelle attività, su richiesta degli stessi, in merito a situazioni da osservare per poter prevedere poi approfondimenti specifici sulle problematiche emerse (es. dipendenze in generale, comportamenti a rischio ecc..). Anche in questi contesti saranno utilizzati i linguaggi più prossimi agli adolescenti, quali musica, video, arti performative, linguaggio motorio, ecc…</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shd w:fill="FFFFFF" w:val="clear"/>
        </w:rPr>
      </w:pPr>
      <w:r>
        <w:rPr>
          <w:rFonts w:cs="Times New Roman" w:ascii="Times New Roman" w:hAnsi="Times New Roman"/>
          <w:color w:val="000000"/>
          <w:shd w:fill="FFFFFF" w:val="clear"/>
        </w:rPr>
        <w:t>Al di là del loro ruolo e dei loro contesti di intervento specifici, gli psicologi saranno in generale invitati a partecipare alle attività e agli eventi dello SME, per permettere ai ragazzi che lo frequentano di conoscerli e facilitare in tal modo l’accesso a successive consulenze.</w:t>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r>
    </w:p>
    <w:p>
      <w:pPr>
        <w:pStyle w:val="ListParagraph"/>
        <w:ind w:left="0"/>
        <w:jc w:val="both"/>
        <w:rPr>
          <w:rFonts w:ascii="Times New Roman" w:hAnsi="Times New Roman" w:cs="Times New Roman"/>
          <w:color w:val="000000"/>
          <w:shd w:fill="FFFFFF" w:val="clear"/>
        </w:rPr>
      </w:pPr>
      <w:r>
        <w:rPr>
          <w:rFonts w:cs="Times New Roman" w:ascii="Times New Roman" w:hAnsi="Times New Roman"/>
          <w:color w:val="000000"/>
          <w:shd w:fill="FFFFFF" w:val="clear"/>
        </w:rPr>
        <w:t>Il bacino potenziale di utenza stimato (comprensivo dei laboratori nelle classi, delle attività di gruppo presso lo SME e delle consulenze individuali) è di circa 610 ragazzi per il periodo di vigenza dell’accordo.</w:t>
      </w:r>
    </w:p>
    <w:p>
      <w:pPr>
        <w:pStyle w:val="Normal"/>
        <w:spacing w:lineRule="auto" w:line="276"/>
        <w:jc w:val="both"/>
        <w:rPr>
          <w:rFonts w:ascii="Times New Roman" w:hAnsi="Times New Roman" w:cs="Times New Roman"/>
          <w:color w:val="000000"/>
        </w:rPr>
      </w:pPr>
      <w:r>
        <w:rPr>
          <w:rFonts w:cs="Times New Roman" w:ascii="Times New Roman" w:hAnsi="Times New Roman"/>
          <w:color w:val="000000"/>
        </w:rPr>
      </w:r>
    </w:p>
    <w:p>
      <w:pPr>
        <w:pStyle w:val="Normal"/>
        <w:spacing w:lineRule="auto" w:line="276" w:before="0" w:after="0"/>
        <w:jc w:val="center"/>
        <w:rPr/>
      </w:pPr>
      <w:r>
        <w:rPr>
          <w:rFonts w:eastAsia="Times New Roman" w:cs="Times New Roman" w:ascii="Times New Roman" w:hAnsi="Times New Roman"/>
          <w:b/>
        </w:rPr>
        <w:t>ART. 5</w:t>
      </w:r>
    </w:p>
    <w:p>
      <w:pPr>
        <w:pStyle w:val="Normal"/>
        <w:spacing w:lineRule="auto" w:line="276" w:before="0" w:after="0"/>
        <w:jc w:val="center"/>
        <w:rPr/>
      </w:pPr>
      <w:r>
        <w:rPr>
          <w:rFonts w:eastAsia="Times New Roman" w:cs="Times New Roman" w:ascii="Times New Roman" w:hAnsi="Times New Roman"/>
          <w:b/>
        </w:rPr>
        <w:t>OBBLIGHI DELLE PARTI</w:t>
      </w:r>
    </w:p>
    <w:p>
      <w:pPr>
        <w:pStyle w:val="ListParagraph"/>
        <w:spacing w:lineRule="auto" w:line="276" w:before="0" w:after="0"/>
        <w:ind w:left="0"/>
        <w:contextualSpacing/>
        <w:jc w:val="both"/>
        <w:rPr>
          <w:rFonts w:ascii="Times New Roman" w:hAnsi="Times New Roman" w:eastAsia="Times New Roman" w:cs="Times New Roman"/>
          <w:color w:val="FF3838"/>
        </w:rPr>
      </w:pPr>
      <w:r>
        <w:rPr>
          <w:rFonts w:eastAsia="Times New Roman" w:cs="Times New Roman" w:ascii="Times New Roman" w:hAnsi="Times New Roman"/>
          <w:color w:val="FF3838"/>
        </w:rPr>
      </w:r>
    </w:p>
    <w:p>
      <w:pPr>
        <w:pStyle w:val="ListParagraph"/>
        <w:spacing w:lineRule="auto" w:line="276" w:before="0" w:after="0"/>
        <w:ind w:left="0"/>
        <w:contextualSpacing/>
        <w:jc w:val="both"/>
        <w:rPr/>
      </w:pPr>
      <w:r>
        <w:rPr>
          <w:rFonts w:eastAsia="Times New Roman" w:cs="Times New Roman" w:ascii="Times New Roman" w:hAnsi="Times New Roman"/>
          <w:color w:val="000000"/>
        </w:rPr>
        <w:t>Le parti, relativamente alle azioni di propria competenza:</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 xml:space="preserve">- si impegnano a rispettare  i tempi e tutte </w:t>
      </w:r>
      <w:r>
        <w:rPr>
          <w:rFonts w:eastAsia="Times New Roman" w:cs="Times New Roman" w:ascii="Times New Roman" w:hAnsi="Times New Roman"/>
          <w:color w:val="000000"/>
          <w:shd w:fill="FFFFFF" w:val="clear"/>
        </w:rPr>
        <w:t xml:space="preserve">le specifiche previsioni contenute nell’avviso pubblico DesTEENazione - Desideri in azione, nel progetto presentato dal Comune di Reggio Emilia, nella convenzione  di Sovvenzione e ss.mm.ii, nonchè ogni eventuale documento necessario a soddisfare le richieste e/o modifiche disposte dall’AdG, compresa la predisposizione di documentazione e raccolta dati per il monitoraggio degli indicatori del PN Inclusione, il monitoraggio dei processi e la rendicontazione delle attività e delle spese; </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shd w:fill="FFFFFF" w:val="clear"/>
        </w:rPr>
        <w:t>si impegnano a promuovere la capacità ideativa e di proposta degli adolescenti rendendoli partecipi delle attività, dei processi, della programmazione e della valutazione e a connettere le esperienze in atto per produrre integrazioni virtuose;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shd w:fill="FFFFFF" w:val="clear"/>
        </w:rPr>
        <w:t>- si impegnano a promuovere la sperimentazione di un servizio multifunzionale integrato inteso non come la somma di interventi, ma come un percorso unitario che prevede un’équipe multidisciplinare con pluriappartenenze capace di lavorare insieme pur facendo riferimento a differenti contesti organizzativi;</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shd w:fill="FFFFFF" w:val="clear"/>
        </w:rPr>
        <w:t>- si impegnano, pertanto, a tradurre ogni azione e intervento all’interno della metodologia del lavoro integrato con un approccio unitario avendo a riferimento l’ecosistema del progetto e  a favorire l’integrazione delle varie offerte messe in campo e il passaggio dei beneficiari da un’azione all’altra indipendentemente dal soggetto gestore di ciascuna linea progettuale.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Sono responsabili e garantiscono l’esecuzione esatta ed integrale del progetto con l’impiego delle risorse umane definite nell’Avviso e nel progetto, nei tempi previsti nella proposta presentata nonchè della corretta gestione, per quanto di competenza, degli oneri finanziari ad esso imputati e dallo stesso derivanti.</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nel corso dell’intero periodo di vigenza del presente accordo, i necessari raccordi con l’AdG, impegnandosi a collaborare nell’espletamento di ogni onere e adempimento previsto dalla normativa UE in vigore e ad adeguare i contenuti delle attività ad eventuali indirizzi o a specifiche richieste, formulate dall’AdG medesima.</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Avviano ed attuano l’insieme delle operazioni necessarie correlate alle azioni di cui al predetto progetto  nei tempi previsti nella proposta presentata e nel rispetto della normativa UE e nazionale nonché nel rispetto del cronoprogramma di azione e di spesa approvato.</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Garantiscono su tutti i documenti di spesa riferiti al progetto l’indicazione del PN Inclusione, dell’Obiettivo specifico, del titolo dell’operazione, dei rispettivi CUP (Codice Unico di Progetto) per le relative spese connesse al FSE+ e al FESR.</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che le spese relative alla realizzazione del Progetto  siano sostenute entro i termini previsti dalla  di Sovvenzione sottoscritta con il Ministero del lavoro e delle politiche sociali e, comunque, nel rispetto delle tempistiche di cui all’art. 63, par. 2, del Reg. (UE) n. 2021/1060 (di seguito anche RDC), e che la rendicontazione finale avvenga entro 60 giorni dalla fine dell'attività. A tal fine le spese dichiarate devono essere legittime e regolari oltre che conformi alle norme e agli orientamenti europei e nazionali in materia di costi ammissibili e di rendicontazione.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Conservano, predisponendo il relativo fascicolo di progetto, tutta la documentazione amministrativa e contabile, sotto forma di originali o di copie autenticate, su supporti comunemente accettati, registrando, in forma puntuale e completa, nelle piste di controllo, le modalità di archiviazione e garantendone la rintracciabilità, funzionale ai necessari controlli, per un periodo di cinque anni a decorrere dal 31 dicembre dell’anno in cui è effettuato l’ultimo pagamento da parte dell’AdG, e comunque nel rispetto dei vincoli stabiliti dall’art. 82 del Reg. (UE) n. 2021/1060 e dalla normativa nazionale e da quanto previsto ne manuale di rendicontazione predisposto dal ministero.</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la disponibilità di tutta la documentazione e sono tenute a prestare ogni necessaria collaborazione per lo svolgimento di eventuali controlli e/o audit.</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Predispongono proprie procedure di controllo interno in conformità con le indicazioni contenute nel Manuale per i Beneficiari in vigore e ss.mm.ii..</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Garantiscono che le operazioni siano realizzate conformemente ai criteri di selezione approvati dal Comitato di sorveglianza e siano conformi alle norme UE e nazionali applicabili per l'intero periodo di programmazione.</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secondo quanto previsto nell’art. 9, comma 4, del Reg. (UE) n. 2021/1060, il rispetto del principio “non arrecare un danno significativo” (DNSH) agli obiettivi ambientali individuati nell’art. 9 e nell’art. 17 del Reg. (UE) n. 852/2020.</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il rispetto della normativa UE di riferimento, in particolare in materia di concorrenza, aiuti di stato (nei casi pertinenti) ed informazione e pubblicità, nonché quanto previsto dalla normativa UE, con riguardo alle attività di esecuzione, sorveglianza e valutazione del Programma;</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Assicurano il rispetto delle regole di ammissibilità delle spese contenute nel Reg. (UE) n. 2021/1060, nel Reg. (UE) n. 2021/1057, nel Reg. (UE) n. 2021/1058, nella Circolare ministeriale n. 2 del 02.02.2009 del Ministero del Lavoro e delle Politiche sociali, pubblicata in Gazzetta Ufficiale n. 117 del 22 maggio 2009, relativa alla “Tipologia dei soggetti promotori, ammissibilità delle spese e massimali di costo per le attività rendicontate a costi reali cofinanziate dal Fondo sociale europeo 2007-2013 nell’ambito dei Programmi Operativi Nazionali (P.O.N.)”, nonché nel D.P.R. 5 febbraio 2018, n. 22 “Regolamento recante i criteri sull'ammissibilità delle spese per i programmi cofinanziati dai Fondi strutturali di investimento europei (SIE) per il periodo di programmazione 2014/2020”, nelle more dell’approvazione del nuovo D.P.R. a valere sulla programmazione 2021/2027.</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Garantiscono il rispetto degli obblighi di informazione e pubblicità previsti nell’Avviso.</w:t>
      </w:r>
    </w:p>
    <w:p>
      <w:pPr>
        <w:pStyle w:val="ListParagraph"/>
        <w:numPr>
          <w:ilvl w:val="0"/>
          <w:numId w:val="4"/>
        </w:numPr>
        <w:spacing w:lineRule="auto" w:line="276" w:before="0" w:after="0"/>
        <w:contextualSpacing/>
        <w:jc w:val="both"/>
        <w:rPr/>
      </w:pPr>
      <w:r>
        <w:rPr>
          <w:rFonts w:eastAsia="Times New Roman" w:cs="Times New Roman" w:ascii="Times New Roman" w:hAnsi="Times New Roman"/>
          <w:color w:val="000000"/>
        </w:rPr>
        <w:t>Trattano i dati personali e le categorie particolari di dati personali dei destinatari finali nel rispetto di quanto previsto dalla Normativa di settore (GDPR, Codice privacy, Linee Guida dell’European Data Protection Board (EDPB), pareri/istruzioni dell’Autorità Garante per la protezione dei dati) fornendo all'interessato, nel momento in cui i dati personali sono ottenuti, tutte le informazioni di cui agli articoli 13 e 14 del GDPR.</w:t>
      </w:r>
    </w:p>
    <w:p>
      <w:pPr>
        <w:pStyle w:val="ListParagraph"/>
        <w:spacing w:lineRule="auto" w:line="276" w:before="0" w:after="0"/>
        <w:contextualSpacing/>
        <w:jc w:val="both"/>
        <w:rPr/>
      </w:pPr>
      <w:r>
        <w:rPr/>
      </w:r>
    </w:p>
    <w:p>
      <w:pPr>
        <w:pStyle w:val="Normal"/>
        <w:spacing w:lineRule="auto" w:line="276" w:before="0" w:after="46"/>
        <w:ind w:left="454"/>
        <w:jc w:val="center"/>
        <w:rPr/>
      </w:pPr>
      <w:r>
        <w:rPr>
          <w:rFonts w:ascii="Times New Roman" w:hAnsi="Times New Roman"/>
          <w:b/>
          <w:bCs/>
        </w:rPr>
        <w:t>ART. 6</w:t>
      </w:r>
    </w:p>
    <w:p>
      <w:pPr>
        <w:pStyle w:val="Normal"/>
        <w:spacing w:lineRule="auto" w:line="276" w:before="0" w:after="46"/>
        <w:ind w:left="454"/>
        <w:jc w:val="center"/>
        <w:rPr/>
      </w:pPr>
      <w:r>
        <w:rPr>
          <w:rFonts w:ascii="Times New Roman" w:hAnsi="Times New Roman"/>
          <w:b/>
          <w:bCs/>
        </w:rPr>
        <w:t>OBBLIGHI DEL COMUNE</w:t>
      </w:r>
    </w:p>
    <w:p>
      <w:pPr>
        <w:pStyle w:val="Normal"/>
        <w:spacing w:lineRule="auto" w:line="276" w:before="0" w:after="46"/>
        <w:ind w:left="454"/>
        <w:jc w:val="both"/>
        <w:rPr>
          <w:rFonts w:ascii="Times New Roman" w:hAnsi="Times New Roman"/>
          <w:shd w:fill="FFFF00" w:val="clear"/>
        </w:rPr>
      </w:pPr>
      <w:r>
        <w:rPr>
          <w:rFonts w:ascii="Times New Roman" w:hAnsi="Times New Roman"/>
          <w:shd w:fill="FFFF00" w:val="clear"/>
        </w:rPr>
      </w:r>
    </w:p>
    <w:p>
      <w:pPr>
        <w:pStyle w:val="Normal"/>
        <w:spacing w:lineRule="auto" w:line="276" w:before="0" w:after="46"/>
        <w:ind w:left="454"/>
        <w:jc w:val="both"/>
        <w:rPr/>
      </w:pPr>
      <w:r>
        <w:rPr>
          <w:rFonts w:ascii="Times New Roman" w:hAnsi="Times New Roman"/>
          <w:b/>
          <w:bCs/>
          <w:color w:val="000000"/>
        </w:rPr>
        <w:t>Il Comune di Reggio Emilia si impegna a:</w:t>
      </w:r>
    </w:p>
    <w:p>
      <w:pPr>
        <w:pStyle w:val="Normal"/>
        <w:spacing w:lineRule="auto" w:line="276" w:before="0" w:after="46"/>
        <w:ind w:left="454"/>
        <w:jc w:val="both"/>
        <w:rPr/>
      </w:pPr>
      <w:r>
        <w:rPr>
          <w:rFonts w:ascii="Times New Roman" w:hAnsi="Times New Roman"/>
          <w:color w:val="000000"/>
        </w:rPr>
        <w:t>- garantire il coordinamento complessivo del progetto e il Coordinamento strategico-programmatico;</w:t>
      </w:r>
    </w:p>
    <w:p>
      <w:pPr>
        <w:pStyle w:val="Normal"/>
        <w:spacing w:lineRule="auto" w:line="276" w:before="0" w:after="46"/>
        <w:ind w:left="454"/>
        <w:jc w:val="both"/>
        <w:rPr/>
      </w:pPr>
      <w:r>
        <w:rPr>
          <w:rFonts w:ascii="Times New Roman" w:hAnsi="Times New Roman"/>
          <w:color w:val="000000"/>
          <w:sz w:val="23"/>
        </w:rPr>
        <w:t xml:space="preserve">- </w:t>
      </w:r>
      <w:r>
        <w:rPr>
          <w:rFonts w:cs="Times New Roman" w:ascii="Times New Roman" w:hAnsi="Times New Roman"/>
          <w:color w:val="000000"/>
          <w:sz w:val="23"/>
        </w:rPr>
        <w:t>promuovere i Patti educativi di comunità e il rispetto dell'attuazione della Child Protection Policy (CPP);</w:t>
      </w:r>
    </w:p>
    <w:p>
      <w:pPr>
        <w:pStyle w:val="Normal"/>
        <w:spacing w:lineRule="auto" w:line="276" w:before="0" w:after="46"/>
        <w:ind w:left="454"/>
        <w:jc w:val="both"/>
        <w:rPr/>
      </w:pPr>
      <w:r>
        <w:rPr>
          <w:rFonts w:cs="Times New Roman" w:ascii="Times New Roman" w:hAnsi="Times New Roman"/>
          <w:color w:val="000000"/>
          <w:sz w:val="23"/>
        </w:rPr>
        <w:t>- effettuare verifiche dirette – con tempistica indicata dall’AdG (Autorità di Gestione) del Ministero – per valutare l’avvio e il rispetto delle fasi di realizzazione del progetto;</w:t>
      </w:r>
    </w:p>
    <w:p>
      <w:pPr>
        <w:pStyle w:val="Normal"/>
        <w:spacing w:lineRule="auto" w:line="276" w:before="0" w:after="46"/>
        <w:ind w:left="454"/>
        <w:jc w:val="both"/>
        <w:rPr/>
      </w:pPr>
      <w:r>
        <w:rPr>
          <w:rFonts w:cs="Times New Roman" w:ascii="Times New Roman" w:hAnsi="Times New Roman"/>
          <w:color w:val="000000"/>
          <w:sz w:val="23"/>
        </w:rPr>
        <w:t xml:space="preserve">- tenere i rapporti con l’Autorità di Gestione; </w:t>
      </w:r>
    </w:p>
    <w:p>
      <w:pPr>
        <w:pStyle w:val="Normal"/>
        <w:spacing w:lineRule="auto" w:line="276" w:before="0" w:after="46"/>
        <w:ind w:left="454"/>
        <w:jc w:val="both"/>
        <w:rPr/>
      </w:pPr>
      <w:r>
        <w:rPr>
          <w:rFonts w:ascii="Times New Roman" w:hAnsi="Times New Roman"/>
          <w:color w:val="000000"/>
        </w:rPr>
        <w:t xml:space="preserve">- favorire la </w:t>
      </w:r>
      <w:r>
        <w:rPr>
          <w:rStyle w:val="Hyperlink"/>
          <w:rFonts w:eastAsia="Arial" w:cs="Times New Roman" w:ascii="Times New Roman" w:hAnsi="Times New Roman"/>
          <w:color w:val="000000"/>
          <w:kern w:val="2"/>
          <w:u w:val="none"/>
          <w:lang w:eastAsia="zh-CN"/>
        </w:rPr>
        <w:t>tenuta dei rapporti istituzionali e interorganizzativi, il raccordo e la sinergia con tutti gli attori coinvolti, la cura dei processi di informazione e comunicazione, la garanzia di coerenza degli interventi con le finalità e la metodologia del progetto nazionale e con gli altri interventi di pianificazione territoriale o di natura strategica;</w:t>
      </w:r>
    </w:p>
    <w:p>
      <w:pPr>
        <w:pStyle w:val="Normal"/>
        <w:spacing w:lineRule="auto" w:line="276" w:before="0" w:after="46"/>
        <w:ind w:left="454"/>
        <w:jc w:val="both"/>
        <w:rPr/>
      </w:pPr>
      <w:r>
        <w:rPr>
          <w:rStyle w:val="Hyperlink"/>
          <w:rFonts w:eastAsia="Arial" w:cs="Times New Roman" w:ascii="Times New Roman" w:hAnsi="Times New Roman"/>
          <w:color w:val="000000"/>
          <w:kern w:val="2"/>
          <w:u w:val="none"/>
          <w:lang w:eastAsia="zh-CN"/>
        </w:rPr>
        <w:t>- garantire la sinergia e il raccordo con gli altri servizi e progetti già operanti sul territorio rivolti ad adolescenti e preadolescenti e la supervisione e l’andamento complessivo delle attività sia in termini progettuali che amministrativi, di monitoraggio e rendicontazione;</w:t>
      </w:r>
    </w:p>
    <w:p>
      <w:pPr>
        <w:pStyle w:val="Normal"/>
        <w:spacing w:lineRule="auto" w:line="276" w:before="0" w:after="46"/>
        <w:ind w:left="454"/>
        <w:jc w:val="both"/>
        <w:rPr/>
      </w:pPr>
      <w:r>
        <w:rPr>
          <w:rStyle w:val="Hyperlink"/>
          <w:rFonts w:eastAsia="Arial" w:cs="Times New Roman" w:ascii="Times New Roman" w:hAnsi="Times New Roman"/>
          <w:color w:val="000000"/>
          <w:kern w:val="2"/>
          <w:u w:val="none"/>
          <w:lang w:eastAsia="zh-CN"/>
        </w:rPr>
        <w:t>- trasferire il finanziamento della linea 5 (Accompagnamento psicologico ragazzi e promozione dell’intelligenza emotiva) con riferimento al punto 5.1 Accompagnamento psicologico ragazzi per un totale di euro 216.060 codice CUP J81H25000030006, secondo le tempistiche indicate dal Ministero del lavoro e delle Politiche Sociali.</w:t>
      </w:r>
    </w:p>
    <w:p>
      <w:pPr>
        <w:pStyle w:val="Normal"/>
        <w:spacing w:lineRule="auto" w:line="276" w:before="0" w:after="46"/>
        <w:ind w:left="454"/>
        <w:jc w:val="both"/>
        <w:rPr>
          <w:rStyle w:val="Hyperlink"/>
          <w:rFonts w:ascii="Times New Roman" w:hAnsi="Times New Roman" w:eastAsia="Arial" w:cs="Times New Roman"/>
          <w:color w:val="000000"/>
          <w:kern w:val="2"/>
          <w:u w:val="none"/>
          <w:lang w:eastAsia="zh-CN"/>
        </w:rPr>
      </w:pPr>
      <w:r>
        <w:rPr>
          <w:rFonts w:eastAsia="Arial" w:cs="Times New Roman" w:ascii="Times New Roman" w:hAnsi="Times New Roman"/>
          <w:color w:val="000000"/>
          <w:kern w:val="2"/>
          <w:u w:val="none"/>
          <w:lang w:eastAsia="zh-CN"/>
        </w:rPr>
      </w:r>
    </w:p>
    <w:p>
      <w:pPr>
        <w:pStyle w:val="Normal"/>
        <w:spacing w:lineRule="auto" w:line="276" w:before="0" w:after="0"/>
        <w:jc w:val="center"/>
        <w:rPr>
          <w:rFonts w:ascii="Times New Roman" w:hAnsi="Times New Roman" w:eastAsia="Times New Roman" w:cs="Times New Roman"/>
          <w:b/>
        </w:rPr>
      </w:pPr>
      <w:r>
        <w:rPr>
          <w:rFonts w:eastAsia="Times New Roman" w:cs="Times New Roman" w:ascii="Times New Roman" w:hAnsi="Times New Roman"/>
          <w:b/>
        </w:rPr>
        <w:t xml:space="preserve">ART.7 </w:t>
      </w:r>
    </w:p>
    <w:p>
      <w:pPr>
        <w:pStyle w:val="Normal"/>
        <w:spacing w:lineRule="auto" w:line="276" w:before="0" w:after="0"/>
        <w:jc w:val="center"/>
        <w:rPr>
          <w:rFonts w:ascii="Times New Roman" w:hAnsi="Times New Roman" w:eastAsia="Times New Roman" w:cs="Times New Roman"/>
          <w:b/>
        </w:rPr>
      </w:pPr>
      <w:r>
        <w:rPr>
          <w:rFonts w:eastAsia="Times New Roman" w:cs="Times New Roman" w:ascii="Times New Roman" w:hAnsi="Times New Roman"/>
          <w:b/>
        </w:rPr>
        <w:t xml:space="preserve">OBBLIGHI DI AUSL RE </w:t>
      </w:r>
    </w:p>
    <w:p>
      <w:pPr>
        <w:pStyle w:val="Normal"/>
        <w:spacing w:lineRule="auto" w:line="276" w:before="0" w:after="0"/>
        <w:jc w:val="center"/>
        <w:rPr>
          <w:rFonts w:ascii="Times New Roman" w:hAnsi="Times New Roman" w:eastAsia="Times New Roman" w:cs="Times New Roman"/>
          <w:b/>
        </w:rPr>
      </w:pPr>
      <w:r>
        <w:rPr>
          <w:rFonts w:eastAsia="Times New Roman" w:cs="Times New Roman" w:ascii="Times New Roman" w:hAnsi="Times New Roman"/>
          <w:b/>
        </w:rPr>
      </w:r>
    </w:p>
    <w:p>
      <w:pPr>
        <w:pStyle w:val="Normal"/>
        <w:spacing w:lineRule="auto" w:line="360" w:before="0" w:after="0"/>
        <w:ind w:left="426"/>
        <w:jc w:val="both"/>
        <w:rPr>
          <w:rFonts w:ascii="Times New Roman" w:hAnsi="Times New Roman" w:eastAsia="Times New Roman" w:cs="Times New Roman"/>
          <w:color w:val="000000"/>
        </w:rPr>
      </w:pPr>
      <w:r>
        <w:rPr>
          <w:rFonts w:eastAsia="Times New Roman" w:cs="Times New Roman" w:ascii="Times New Roman" w:hAnsi="Times New Roman"/>
          <w:b/>
          <w:color w:val="000000"/>
        </w:rPr>
        <w:t>L’</w:t>
      </w:r>
      <w:r>
        <w:rPr>
          <w:rFonts w:eastAsia="Times New Roman" w:cs="Times New Roman" w:ascii="Times New Roman" w:hAnsi="Times New Roman"/>
          <w:b/>
          <w:color w:val="000000"/>
          <w:shd w:fill="FFFFFF" w:val="clear"/>
        </w:rPr>
        <w:t xml:space="preserve">AUSL- </w:t>
      </w:r>
      <w:r>
        <w:rPr>
          <w:rFonts w:eastAsia="Times New Roman" w:cs="Times New Roman" w:ascii="Times New Roman" w:hAnsi="Times New Roman"/>
          <w:b/>
          <w:bCs/>
          <w:color w:val="000000"/>
          <w:shd w:fill="FFFFFF" w:val="clear"/>
        </w:rPr>
        <w:t>Azienda USL di Reggio Emilia - IRCCS</w:t>
      </w:r>
      <w:r>
        <w:rPr>
          <w:rFonts w:eastAsia="Times New Roman" w:cs="Times New Roman" w:ascii="Times New Roman" w:hAnsi="Times New Roman"/>
          <w:b/>
          <w:color w:val="000000"/>
        </w:rPr>
        <w:t xml:space="preserve"> </w:t>
      </w:r>
      <w:r>
        <w:rPr>
          <w:rFonts w:eastAsia="Times New Roman" w:cs="Times New Roman" w:ascii="Times New Roman" w:hAnsi="Times New Roman"/>
          <w:b/>
          <w:bCs/>
          <w:color w:val="000000"/>
        </w:rPr>
        <w:t>si impegna a</w:t>
      </w:r>
      <w:r>
        <w:rPr>
          <w:rFonts w:eastAsia="Times New Roman" w:cs="Times New Roman" w:ascii="Times New Roman" w:hAnsi="Times New Roman"/>
          <w:color w:val="000000"/>
        </w:rPr>
        <w:t>:</w:t>
      </w:r>
    </w:p>
    <w:p>
      <w:pPr>
        <w:pStyle w:val="Normal"/>
        <w:numPr>
          <w:ilvl w:val="0"/>
          <w:numId w:val="2"/>
        </w:numPr>
        <w:spacing w:lineRule="auto" w:line="360" w:before="0" w:after="0"/>
        <w:ind w:hanging="360" w:left="426"/>
        <w:jc w:val="both"/>
        <w:rPr>
          <w:color w:val="000000"/>
        </w:rPr>
      </w:pPr>
      <w:r>
        <w:rPr>
          <w:rFonts w:eastAsia="Times New Roman" w:cs="Times New Roman" w:ascii="Times New Roman" w:hAnsi="Times New Roman"/>
          <w:color w:val="000000"/>
        </w:rPr>
        <w:t xml:space="preserve">mettere a disposizione per le attività della linea 5 n. 2 psicologi per un totale di 3.900 ore ciascuno la cui attività è </w:t>
      </w:r>
      <w:r>
        <w:rPr>
          <w:rFonts w:cs="Times New Roman" w:ascii="Times New Roman" w:hAnsi="Times New Roman"/>
          <w:color w:val="000000"/>
          <w:shd w:fill="FFFFFF" w:val="clear"/>
        </w:rPr>
        <w:t>da realizzarsi prioritariamente presso lo SME, in ambito scolastico e in spazi ricreativi individuati successivamente nell’ambito del progetto</w:t>
      </w:r>
      <w:r>
        <w:rPr>
          <w:rFonts w:eastAsia="Times New Roman" w:cs="Times New Roman" w:ascii="Times New Roman" w:hAnsi="Times New Roman"/>
          <w:color w:val="000000"/>
        </w:rPr>
        <w:t>, indicativamente a partire dal mese di Ottobre</w:t>
      </w:r>
    </w:p>
    <w:p>
      <w:pPr>
        <w:pStyle w:val="Normal"/>
        <w:spacing w:lineRule="auto" w:line="360" w:before="0" w:after="0"/>
        <w:ind w:left="66"/>
        <w:jc w:val="both"/>
        <w:rPr>
          <w:color w:val="000000"/>
        </w:rPr>
      </w:pPr>
      <w:r>
        <w:rPr>
          <w:rFonts w:eastAsia="Times New Roman" w:cs="Times New Roman" w:ascii="Times New Roman" w:hAnsi="Times New Roman"/>
          <w:color w:val="000000"/>
        </w:rPr>
        <w:t>Dovrà essere garantita:</w:t>
      </w:r>
    </w:p>
    <w:p>
      <w:pPr>
        <w:pStyle w:val="Normal"/>
        <w:numPr>
          <w:ilvl w:val="0"/>
          <w:numId w:val="3"/>
        </w:numPr>
        <w:spacing w:lineRule="auto" w:line="360" w:before="0" w:after="0"/>
        <w:jc w:val="both"/>
        <w:rPr>
          <w:color w:val="000000"/>
        </w:rPr>
      </w:pPr>
      <w:r>
        <w:rPr>
          <w:rFonts w:eastAsia="Times New Roman" w:cs="Times New Roman" w:ascii="Times New Roman" w:hAnsi="Times New Roman"/>
          <w:color w:val="000000"/>
        </w:rPr>
        <w:t>la disponibilità del servizio presso lo SME per almeno 5 giorni alla settimana per 5 ore al giorno, sia attraverso attività individuali sia attraverso attività di gruppo.</w:t>
      </w:r>
    </w:p>
    <w:p>
      <w:pPr>
        <w:pStyle w:val="Normal"/>
        <w:numPr>
          <w:ilvl w:val="0"/>
          <w:numId w:val="3"/>
        </w:numPr>
        <w:spacing w:lineRule="auto" w:line="360" w:before="0" w:after="0"/>
        <w:jc w:val="both"/>
        <w:rPr>
          <w:color w:val="000000"/>
        </w:rPr>
      </w:pPr>
      <w:r>
        <w:rPr>
          <w:rFonts w:eastAsia="Times New Roman" w:cs="Times New Roman" w:ascii="Times New Roman" w:hAnsi="Times New Roman"/>
          <w:color w:val="000000"/>
        </w:rPr>
        <w:t>la supervisione all’équipe dello SME due volte al mese;</w:t>
      </w:r>
    </w:p>
    <w:p>
      <w:pPr>
        <w:pStyle w:val="Normal"/>
        <w:numPr>
          <w:ilvl w:val="0"/>
          <w:numId w:val="3"/>
        </w:numPr>
        <w:spacing w:lineRule="auto" w:line="360" w:before="0" w:after="0"/>
        <w:jc w:val="both"/>
        <w:rPr>
          <w:color w:val="000000"/>
        </w:rPr>
      </w:pPr>
      <w:r>
        <w:rPr>
          <w:rFonts w:eastAsia="Times New Roman" w:cs="Times New Roman" w:ascii="Times New Roman" w:hAnsi="Times New Roman"/>
          <w:color w:val="000000"/>
        </w:rPr>
        <w:t>un’attività di informazione e coinvolgimento di famiglie, scuole, comunità;</w:t>
      </w:r>
    </w:p>
    <w:p>
      <w:pPr>
        <w:pStyle w:val="Normal"/>
        <w:numPr>
          <w:ilvl w:val="0"/>
          <w:numId w:val="3"/>
        </w:numPr>
        <w:spacing w:lineRule="auto" w:line="360" w:before="0" w:after="0"/>
        <w:jc w:val="both"/>
        <w:rPr>
          <w:color w:val="000000"/>
        </w:rPr>
      </w:pPr>
      <w:r>
        <w:rPr>
          <w:rFonts w:eastAsia="Times New Roman" w:cs="Times New Roman" w:ascii="Times New Roman" w:hAnsi="Times New Roman"/>
          <w:color w:val="000000"/>
        </w:rPr>
        <w:t xml:space="preserve">una relazione trimestrale con descrizione delle attività eseguite; </w:t>
      </w:r>
    </w:p>
    <w:p>
      <w:pPr>
        <w:pStyle w:val="Normal"/>
        <w:numPr>
          <w:ilvl w:val="0"/>
          <w:numId w:val="3"/>
        </w:numPr>
        <w:spacing w:lineRule="auto" w:line="360" w:before="0" w:after="0"/>
        <w:jc w:val="both"/>
        <w:rPr>
          <w:color w:val="000000"/>
        </w:rPr>
      </w:pPr>
      <w:r>
        <w:rPr>
          <w:rFonts w:eastAsia="Times New Roman" w:cs="Times New Roman" w:ascii="Times New Roman" w:hAnsi="Times New Roman"/>
          <w:color w:val="000000"/>
        </w:rPr>
        <w:t xml:space="preserve">la comunicazione tempestiva e comunque su richiesta del Comune di tutta la documentazione necessaria per il monitoraggio (trimestrale) dei processi e la rendicontazione delle attività e delle spese, nella quale siano evidenziati gli indicatori di output, di progetto e di risultato; </w:t>
      </w:r>
      <w:r>
        <w:rPr>
          <w:rFonts w:eastAsia="Times New Roman" w:cs="Times New Roman" w:ascii="Times New Roman" w:hAnsi="Times New Roman"/>
          <w:color w:val="000000"/>
          <w:shd w:fill="FFFFFF" w:val="clear"/>
        </w:rPr>
        <w:t>si precisa che tale punto costitui</w:t>
      </w:r>
      <w:r>
        <w:rPr>
          <w:rFonts w:eastAsia="Times New Roman" w:cs="Times New Roman" w:ascii="Times New Roman" w:hAnsi="Times New Roman"/>
          <w:color w:val="000000"/>
        </w:rPr>
        <w:t xml:space="preserve">sce, tra l’altro, un preciso obbligo di monitoraggio e rendicontazione cui l’AUSL RE concorre con la presentazione di relazioni trimestrali funzionali sia al monitoraggio dell’andamento delle attività, sia alla rilevazione degli elementi necessari per la rendicontazione che il Comune di Reggio Emilia dovrà produrre per l’autorità di gestione del PN inclusione e lotta alla povertà. Le relazioni dovranno pertanto essere organizzate coerentemente con gli indicatori richiesti dal Ministero e secondo le voci definite successivamente in base alle linee guida e/o indicazioni ministeriali e dell’Autorità di Gestione.  In linea generale, dalle relazioni dovranno emergere gli elementi necessari a raccogliere e valutare. </w:t>
      </w:r>
    </w:p>
    <w:p>
      <w:pPr>
        <w:pStyle w:val="Normal"/>
        <w:spacing w:lineRule="auto" w:line="360" w:before="0" w:after="0"/>
        <w:ind w:left="426"/>
        <w:jc w:val="both"/>
        <w:rPr>
          <w:color w:val="000000"/>
        </w:rPr>
      </w:pPr>
      <w:r>
        <w:rPr>
          <w:rFonts w:eastAsia="Times New Roman" w:cs="Times New Roman" w:ascii="Times New Roman" w:hAnsi="Times New Roman"/>
          <w:color w:val="000000"/>
        </w:rPr>
        <w:t>A titolo esemplificativo e non esaustivo:</w:t>
      </w:r>
    </w:p>
    <w:p>
      <w:pPr>
        <w:pStyle w:val="Normal"/>
        <w:numPr>
          <w:ilvl w:val="0"/>
          <w:numId w:val="2"/>
        </w:numPr>
        <w:spacing w:lineRule="auto" w:line="276" w:before="0" w:after="46"/>
        <w:jc w:val="both"/>
        <w:rPr>
          <w:color w:val="000000"/>
        </w:rPr>
      </w:pPr>
      <w:r>
        <w:rPr>
          <w:rFonts w:eastAsia="Times New Roman" w:cs="Times New Roman" w:ascii="Times New Roman" w:hAnsi="Times New Roman"/>
          <w:color w:val="000000"/>
        </w:rPr>
        <w:t>andamento del servizio e obiettivi raggiunti;</w:t>
      </w:r>
    </w:p>
    <w:p>
      <w:pPr>
        <w:pStyle w:val="Normal"/>
        <w:numPr>
          <w:ilvl w:val="0"/>
          <w:numId w:val="2"/>
        </w:numPr>
        <w:spacing w:lineRule="auto" w:line="276" w:before="0" w:after="46"/>
        <w:jc w:val="both"/>
        <w:rPr>
          <w:color w:val="000000"/>
        </w:rPr>
      </w:pPr>
      <w:r>
        <w:rPr>
          <w:rFonts w:eastAsia="Times New Roman" w:cs="Times New Roman" w:ascii="Times New Roman" w:hAnsi="Times New Roman"/>
          <w:color w:val="000000"/>
        </w:rPr>
        <w:t>dati sulle attività svolte;</w:t>
      </w:r>
    </w:p>
    <w:p>
      <w:pPr>
        <w:pStyle w:val="Normal"/>
        <w:numPr>
          <w:ilvl w:val="0"/>
          <w:numId w:val="2"/>
        </w:numPr>
        <w:spacing w:lineRule="auto" w:line="276" w:before="0" w:after="46"/>
        <w:jc w:val="both"/>
        <w:rPr>
          <w:color w:val="000000"/>
        </w:rPr>
      </w:pPr>
      <w:r>
        <w:rPr>
          <w:rFonts w:eastAsia="Times New Roman" w:cs="Times New Roman" w:ascii="Times New Roman" w:hAnsi="Times New Roman"/>
          <w:color w:val="000000"/>
        </w:rPr>
        <w:t>organizzazione complessiva del servizio;</w:t>
      </w:r>
    </w:p>
    <w:p>
      <w:pPr>
        <w:pStyle w:val="Normal"/>
        <w:numPr>
          <w:ilvl w:val="0"/>
          <w:numId w:val="2"/>
        </w:numPr>
        <w:spacing w:lineRule="auto" w:line="276" w:before="0" w:after="46"/>
        <w:jc w:val="both"/>
        <w:rPr>
          <w:color w:val="000000"/>
        </w:rPr>
      </w:pPr>
      <w:r>
        <w:rPr>
          <w:rFonts w:eastAsia="Times New Roman" w:cs="Times New Roman" w:ascii="Times New Roman" w:hAnsi="Times New Roman"/>
          <w:color w:val="000000"/>
        </w:rPr>
        <w:t>iniziative di formazione/aggiornamento professionale, strettamente connesse alle problematiche e alle attività svolte;</w:t>
      </w:r>
    </w:p>
    <w:p>
      <w:pPr>
        <w:pStyle w:val="Normal"/>
        <w:numPr>
          <w:ilvl w:val="0"/>
          <w:numId w:val="2"/>
        </w:numPr>
        <w:spacing w:lineRule="auto" w:line="276" w:before="0" w:after="46"/>
        <w:jc w:val="both"/>
        <w:rPr>
          <w:color w:val="000000"/>
        </w:rPr>
      </w:pPr>
      <w:r>
        <w:rPr>
          <w:rFonts w:eastAsia="Times New Roman" w:cs="Times New Roman" w:ascii="Times New Roman" w:hAnsi="Times New Roman"/>
          <w:color w:val="000000"/>
        </w:rPr>
        <w:t>documentazione degli interventi.</w:t>
      </w:r>
    </w:p>
    <w:p>
      <w:pPr>
        <w:pStyle w:val="Normal"/>
        <w:numPr>
          <w:ilvl w:val="0"/>
          <w:numId w:val="2"/>
        </w:numPr>
        <w:spacing w:lineRule="auto" w:line="276" w:before="0" w:after="46"/>
        <w:jc w:val="both"/>
        <w:rPr>
          <w:color w:val="000000"/>
        </w:rPr>
      </w:pPr>
      <w:r>
        <w:rPr>
          <w:rFonts w:eastAsia="Times New Roman" w:cs="Times New Roman" w:ascii="Times New Roman" w:hAnsi="Times New Roman"/>
          <w:color w:val="000000"/>
        </w:rPr>
        <w:t>La rendicontazione dovrà essere analitica e inerente le attività svolte;</w:t>
      </w:r>
    </w:p>
    <w:p>
      <w:pPr>
        <w:pStyle w:val="Default"/>
        <w:numPr>
          <w:ilvl w:val="0"/>
          <w:numId w:val="2"/>
        </w:numPr>
        <w:spacing w:lineRule="auto" w:line="276"/>
        <w:jc w:val="both"/>
        <w:rPr>
          <w:sz w:val="22"/>
        </w:rPr>
      </w:pPr>
      <w:r>
        <w:rPr>
          <w:rFonts w:eastAsia="Times New Roman" w:cs="Times New Roman" w:ascii="Times New Roman" w:hAnsi="Times New Roman"/>
          <w:sz w:val="22"/>
        </w:rPr>
        <w:t>Per spese di personale: riepilogo complessivo delle risorse umane impegnate, copia contratti di lavoro sottoscritti-contratto di prestazione/lettera di incarico; timesheet per ogni risorsa umana impegnata, relazione delle attività svolte dalle risorse umane impegnate, buste paga, attestazioni circa il pagamento (bonifico/assegno N.T. o mandato pagamento quietanzato) - incarichi – partite I.V.A -curriculum vitae- fattura o altro doc. contabile equivalente quietanzato.</w:t>
      </w:r>
    </w:p>
    <w:p>
      <w:pPr>
        <w:pStyle w:val="Default"/>
        <w:spacing w:lineRule="auto" w:line="276"/>
        <w:ind w:left="1080"/>
        <w:jc w:val="both"/>
        <w:rPr>
          <w:sz w:val="22"/>
        </w:rPr>
      </w:pPr>
      <w:r>
        <w:rPr>
          <w:sz w:val="22"/>
        </w:rPr>
      </w:r>
    </w:p>
    <w:p>
      <w:pPr>
        <w:pStyle w:val="Normal"/>
        <w:spacing w:lineRule="auto" w:line="276" w:before="0" w:after="46"/>
        <w:ind w:left="454"/>
        <w:jc w:val="both"/>
        <w:rPr>
          <w:rFonts w:ascii="Times New Roman" w:hAnsi="Times New Roman" w:eastAsia="Times New Roman" w:cs="Times New Roman"/>
          <w:color w:val="000000"/>
          <w:u w:val="single"/>
        </w:rPr>
      </w:pPr>
      <w:r>
        <w:rPr>
          <w:rFonts w:eastAsia="Times New Roman" w:cs="Times New Roman" w:ascii="Times New Roman" w:hAnsi="Times New Roman"/>
          <w:color w:val="000000"/>
          <w:u w:val="single"/>
        </w:rPr>
        <w:t>Pertanto, è richiesto l’adempimento degli obblighi di rendicontazione, raccolta dati e monitoraggio degli interventi secondo le tempistiche e con le modalità indicate dall’Autorità di Gestione del PN Inclusione e Lotta alla Povertà e dei manuali che saranno predisposti, con gli strumenti che verranno forniti dall’ATS, compresa la traSMEissione dei timesheet del personale impiegato sul servizio.</w:t>
      </w:r>
    </w:p>
    <w:p>
      <w:pPr>
        <w:pStyle w:val="Normal"/>
        <w:spacing w:lineRule="auto" w:line="276" w:before="0" w:after="46"/>
        <w:ind w:left="454"/>
        <w:jc w:val="both"/>
        <w:rPr/>
      </w:pPr>
      <w:r>
        <w:rPr/>
      </w:r>
    </w:p>
    <w:p>
      <w:pPr>
        <w:pStyle w:val="Default"/>
        <w:spacing w:lineRule="auto" w:line="276"/>
        <w:jc w:val="both"/>
        <w:rPr/>
      </w:pPr>
      <w:r>
        <w:rPr>
          <w:rFonts w:eastAsia="Times New Roman" w:cs="Times New Roman" w:ascii="Times New Roman" w:hAnsi="Times New Roman"/>
          <w:sz w:val="22"/>
        </w:rPr>
        <w:t>L’Azienda USL di Reggio Emilia si impegna altresì a creare dei sistemi di report delle attività interni all’Azienda, che possano rientrate nei percorsi di psicologia di comunità, al fine di certificare il lavoro svolto dagli operatori sanitari.</w:t>
      </w:r>
    </w:p>
    <w:p>
      <w:pPr>
        <w:pStyle w:val="Normal"/>
        <w:spacing w:lineRule="auto" w:line="276" w:before="0" w:after="0"/>
        <w:jc w:val="center"/>
        <w:rPr/>
      </w:pPr>
      <w:r>
        <w:rPr>
          <w:rFonts w:eastAsia="Times New Roman" w:cs="Times New Roman" w:ascii="Times New Roman" w:hAnsi="Times New Roman"/>
          <w:b/>
          <w:shd w:fill="FFFFFF" w:val="clear"/>
        </w:rPr>
        <w:t>Art. 8</w:t>
      </w:r>
    </w:p>
    <w:p>
      <w:pPr>
        <w:pStyle w:val="Normal"/>
        <w:spacing w:lineRule="auto" w:line="276" w:before="0" w:after="0"/>
        <w:jc w:val="center"/>
        <w:rPr/>
      </w:pPr>
      <w:r>
        <w:rPr>
          <w:rFonts w:eastAsia="Times New Roman" w:cs="Times New Roman" w:ascii="Times New Roman" w:hAnsi="Times New Roman"/>
          <w:b/>
          <w:shd w:fill="FFFFFF" w:val="clear"/>
        </w:rPr>
        <w:t>MONITORAGGIO DEL PROGETTO</w:t>
      </w:r>
    </w:p>
    <w:p>
      <w:pPr>
        <w:pStyle w:val="Normal"/>
        <w:widowControl w:val="false"/>
        <w:spacing w:lineRule="auto" w:line="276" w:before="100" w:after="0"/>
        <w:jc w:val="both"/>
        <w:rPr/>
      </w:pPr>
      <w:r>
        <w:rPr>
          <w:rFonts w:eastAsia="Times New Roman" w:cs="Times New Roman" w:ascii="Times New Roman" w:hAnsi="Times New Roman"/>
          <w:shd w:fill="FFFFFF" w:val="clear"/>
        </w:rPr>
        <w:t xml:space="preserve">Per garantire il monitoraggio del progetto si prevede l’istituzione di una cabina di regia in capo alla Direzione Generale composta dai RUP, dal coordinatore di progetto, dal coordinatore strategico programmatico, da rappresentanti di AUSL, ASP e, al bisogno, del Terzo settore. </w:t>
      </w:r>
    </w:p>
    <w:p>
      <w:pPr>
        <w:pStyle w:val="Normal"/>
        <w:widowControl w:val="false"/>
        <w:spacing w:lineRule="auto" w:line="276" w:before="100" w:after="0"/>
        <w:jc w:val="both"/>
        <w:rPr/>
      </w:pPr>
      <w:r>
        <w:rPr>
          <w:rFonts w:eastAsia="Times New Roman" w:cs="Times New Roman" w:ascii="Times New Roman" w:hAnsi="Times New Roman"/>
          <w:shd w:fill="FFFFFF" w:val="clear"/>
        </w:rPr>
        <w:t xml:space="preserve">Per garantire l’effettiva e piena integrazione delle attività all’interno della rete dei servizi e con le politiche di territorio si prevedono altresì incontri almeno semestrali con i referenti dei servizi afferenti alle politiche giovanili, educative e sociali dell’ATS, ASP, AUSL, TERZO SETTORE. </w:t>
      </w:r>
    </w:p>
    <w:p>
      <w:pPr>
        <w:pStyle w:val="Normal"/>
        <w:widowControl w:val="false"/>
        <w:spacing w:lineRule="auto" w:line="276" w:before="100" w:after="0"/>
        <w:jc w:val="both"/>
        <w:rPr/>
      </w:pPr>
      <w:r>
        <w:rPr>
          <w:rFonts w:eastAsia="Times New Roman" w:cs="Times New Roman" w:ascii="Times New Roman" w:hAnsi="Times New Roman"/>
          <w:shd w:fill="FFFFFF" w:val="clear"/>
        </w:rPr>
        <w:t>Verrà, inoltre, aperto un confronto con il COMITATO DI CONSULTAZIONE dei ragazzi e delle ragazze che viene sviluppato all’interno della progettazione stessa.</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9</w:t>
      </w:r>
    </w:p>
    <w:p>
      <w:pPr>
        <w:pStyle w:val="Normal"/>
        <w:spacing w:lineRule="auto" w:line="276" w:before="0" w:after="0"/>
        <w:jc w:val="center"/>
        <w:rPr/>
      </w:pPr>
      <w:r>
        <w:rPr>
          <w:rFonts w:eastAsia="Times New Roman" w:cs="Times New Roman" w:ascii="Times New Roman" w:hAnsi="Times New Roman"/>
          <w:b/>
        </w:rPr>
        <w:t>MONITORAGGIO E RENDICONTAZIONE</w:t>
      </w:r>
    </w:p>
    <w:p>
      <w:pPr>
        <w:pStyle w:val="Normal"/>
        <w:spacing w:lineRule="auto" w:line="276"/>
        <w:jc w:val="both"/>
        <w:rPr/>
      </w:pPr>
      <w:r>
        <w:rPr>
          <w:rFonts w:eastAsia="Times New Roman" w:cs="Times New Roman" w:ascii="Times New Roman" w:hAnsi="Times New Roman"/>
          <w:color w:val="000000"/>
        </w:rPr>
        <w:t>Il monitoraggio quali-quantitativo e la rendicontazione dovranno essere eseguiti secondo le tempistiche e con le modalità indicate dall’Autorità di Gestione del PN Inclusione e Lotta alla Povertà, secondo quanto previsto dall’Allegato E “Elenco documenti per la rendicontazione delle spese” dell’Avviso, il Manuale per i Beneficiari, ovvero secondo  le modalità e i criteri che saranno predisposti dall’AdG.</w:t>
      </w:r>
    </w:p>
    <w:p>
      <w:pPr>
        <w:pStyle w:val="Default"/>
        <w:spacing w:lineRule="auto" w:line="276"/>
        <w:rPr/>
      </w:pPr>
      <w:r>
        <w:rPr>
          <w:rFonts w:eastAsia="Times New Roman" w:cs="Times New Roman" w:ascii="Times New Roman" w:hAnsi="Times New Roman"/>
          <w:sz w:val="22"/>
        </w:rPr>
        <w:t xml:space="preserve">Sarà importante impostare dal principio la tenuta dei registri, per poter dimostrare in sede di controllo le attività eseguite e, pertanto, raccogliere documentazione probatoria relativa alla Linea di propria competenza; a titolo esemplificativo: </w:t>
      </w:r>
    </w:p>
    <w:p>
      <w:pPr>
        <w:pStyle w:val="Default"/>
        <w:numPr>
          <w:ilvl w:val="0"/>
          <w:numId w:val="6"/>
        </w:numPr>
        <w:spacing w:lineRule="auto" w:line="276"/>
        <w:rPr/>
      </w:pPr>
      <w:r>
        <w:rPr>
          <w:rFonts w:eastAsia="Times New Roman" w:cs="Times New Roman" w:ascii="Times New Roman" w:hAnsi="Times New Roman"/>
          <w:sz w:val="22"/>
        </w:rPr>
        <w:t xml:space="preserve">media della frequenza richiesta per attività di aggregazione (media 48 ragazzi/giorno, base semestrale, salvo scostamenti max 20%); </w:t>
      </w:r>
    </w:p>
    <w:p>
      <w:pPr>
        <w:pStyle w:val="Default"/>
        <w:numPr>
          <w:ilvl w:val="0"/>
          <w:numId w:val="6"/>
        </w:numPr>
        <w:spacing w:lineRule="auto" w:line="276"/>
        <w:rPr/>
      </w:pPr>
      <w:r>
        <w:rPr>
          <w:rFonts w:eastAsia="Times New Roman" w:cs="Times New Roman" w:ascii="Times New Roman" w:hAnsi="Times New Roman"/>
          <w:sz w:val="22"/>
        </w:rPr>
        <w:t xml:space="preserve">evidenza svolgimento riunioni del Comitato di consultazione dei beneficiari (almeno trimestrali); </w:t>
      </w:r>
    </w:p>
    <w:p>
      <w:pPr>
        <w:pStyle w:val="Default"/>
        <w:spacing w:lineRule="auto" w:line="276"/>
        <w:rPr>
          <w:rFonts w:ascii="Times New Roman" w:hAnsi="Times New Roman" w:eastAsia="Times New Roman" w:cs="Times New Roman"/>
          <w:sz w:val="22"/>
        </w:rPr>
      </w:pPr>
      <w:r>
        <w:rPr>
          <w:rFonts w:eastAsia="Times New Roman" w:cs="Times New Roman" w:ascii="Times New Roman" w:hAnsi="Times New Roman"/>
          <w:sz w:val="22"/>
        </w:rPr>
      </w:r>
    </w:p>
    <w:p>
      <w:pPr>
        <w:pStyle w:val="Default"/>
        <w:spacing w:lineRule="auto" w:line="276"/>
        <w:rPr>
          <w:rFonts w:ascii="Times New Roman" w:hAnsi="Times New Roman" w:eastAsia="Times New Roman" w:cs="Times New Roman"/>
          <w:sz w:val="22"/>
        </w:rPr>
      </w:pPr>
      <w:r>
        <w:rPr>
          <w:rFonts w:eastAsia="Times New Roman" w:cs="Times New Roman" w:ascii="Times New Roman" w:hAnsi="Times New Roman"/>
          <w:sz w:val="22"/>
        </w:rPr>
      </w:r>
    </w:p>
    <w:p>
      <w:pPr>
        <w:pStyle w:val="Normal"/>
        <w:spacing w:lineRule="auto" w:line="276" w:before="0" w:after="0"/>
        <w:jc w:val="center"/>
        <w:rPr/>
      </w:pPr>
      <w:r>
        <w:rPr>
          <w:rFonts w:eastAsia="Times New Roman" w:cs="Times New Roman" w:ascii="Times New Roman" w:hAnsi="Times New Roman"/>
          <w:b/>
        </w:rPr>
        <w:t>ART. 10</w:t>
      </w:r>
    </w:p>
    <w:p>
      <w:pPr>
        <w:pStyle w:val="Normal"/>
        <w:spacing w:lineRule="auto" w:line="276" w:before="0" w:after="0"/>
        <w:jc w:val="center"/>
        <w:rPr/>
      </w:pPr>
      <w:r>
        <w:rPr>
          <w:rFonts w:eastAsia="Times New Roman" w:cs="Times New Roman" w:ascii="Times New Roman" w:hAnsi="Times New Roman"/>
          <w:b/>
        </w:rPr>
        <w:t>CORRISPETTIVO DEL SERVIZIO E DEGLI INTERVENTI</w:t>
      </w:r>
    </w:p>
    <w:p>
      <w:pPr>
        <w:pStyle w:val="Normal"/>
        <w:spacing w:lineRule="auto" w:line="276" w:before="0" w:after="0"/>
        <w:jc w:val="both"/>
        <w:rPr/>
      </w:pPr>
      <w:r>
        <w:rPr>
          <w:rFonts w:eastAsia="Times New Roman" w:cs="Times New Roman" w:ascii="Times New Roman" w:hAnsi="Times New Roman"/>
        </w:rPr>
        <w:t>Le parti convengono che il finanziamento del progetto, attraverso risorse attribuite al Comune, saranno dallo stesso assegnate:</w:t>
      </w:r>
    </w:p>
    <w:p>
      <w:pPr>
        <w:pStyle w:val="Normal"/>
        <w:spacing w:lineRule="auto" w:line="276" w:before="0" w:after="0"/>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rPr>
        <w:t>Le parti convengono che il finanziamento del progetto, attraverso risorse attribuite al Comune, saranno dallo stesso assegnate ad AUSL RE nell’arco del triennio, a partire indicativamente dal mese di Ottobre</w:t>
      </w:r>
      <w:bookmarkStart w:id="0" w:name="_GoBack"/>
      <w:bookmarkEnd w:id="0"/>
      <w:r>
        <w:rPr>
          <w:rFonts w:eastAsia="Times New Roman" w:cs="Times New Roman" w:ascii="Times New Roman" w:hAnsi="Times New Roman"/>
        </w:rPr>
        <w:t xml:space="preserve"> come segue: </w:t>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360" w:before="0" w:after="0"/>
        <w:ind w:left="66"/>
        <w:jc w:val="both"/>
        <w:rPr>
          <w:color w:val="000000"/>
        </w:rPr>
      </w:pPr>
      <w:r>
        <w:rPr>
          <w:rFonts w:eastAsia="Times New Roman" w:cs="Times New Roman" w:ascii="Times New Roman" w:hAnsi="Times New Roman"/>
          <w:color w:val="000000"/>
        </w:rPr>
        <w:t>LINEA 5</w:t>
      </w:r>
    </w:p>
    <w:p>
      <w:pPr>
        <w:pStyle w:val="Normal"/>
        <w:spacing w:lineRule="auto" w:line="360" w:before="0" w:after="0"/>
        <w:ind w:left="720"/>
        <w:jc w:val="both"/>
        <w:rPr>
          <w:rFonts w:ascii="Times New Roman" w:hAnsi="Times New Roman" w:eastAsia="Times New Roman" w:cs="Times New Roman"/>
          <w:color w:val="000000"/>
        </w:rPr>
      </w:pPr>
      <w:r>
        <w:rPr>
          <w:rFonts w:ascii="Times New Roman" w:hAnsi="Times New Roman"/>
          <w:color w:val="000000"/>
        </w:rPr>
        <w:t>5.1 Accompagnamento psicologico ragazzi</w:t>
        <w:tab/>
        <w:tab/>
        <w:tab/>
      </w:r>
      <w:r>
        <w:rPr>
          <w:rFonts w:eastAsia="Times New Roman" w:cs="Times New Roman" w:ascii="Times New Roman" w:hAnsi="Times New Roman"/>
          <w:color w:val="000000"/>
        </w:rPr>
        <w:t>€ 216.060,00</w:t>
      </w:r>
    </w:p>
    <w:p>
      <w:pPr>
        <w:pStyle w:val="Normal"/>
        <w:spacing w:lineRule="auto" w:line="360" w:before="0" w:after="0"/>
        <w:ind w:left="720"/>
        <w:jc w:val="both"/>
        <w:rPr>
          <w:color w:val="000000"/>
        </w:rPr>
      </w:pPr>
      <w:r>
        <w:rPr>
          <w:rStyle w:val="Hyperlink"/>
          <w:rFonts w:eastAsia="Arial" w:cs="Times New Roman" w:ascii="Times New Roman" w:hAnsi="Times New Roman"/>
          <w:color w:val="000000"/>
          <w:kern w:val="2"/>
          <w:u w:val="none"/>
          <w:lang w:eastAsia="zh-CN"/>
        </w:rPr>
        <w:t>codice CUP J81H25000030006</w:t>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rPr>
        <w:tab/>
        <w:tab/>
        <w:tab/>
      </w:r>
    </w:p>
    <w:p>
      <w:pPr>
        <w:pStyle w:val="Normal"/>
        <w:spacing w:lineRule="auto" w:line="276" w:before="0" w:after="0"/>
        <w:jc w:val="both"/>
        <w:rPr>
          <w:rFonts w:ascii="Times New Roman" w:hAnsi="Times New Roman"/>
        </w:rPr>
      </w:pPr>
      <w:r>
        <w:rPr>
          <w:rFonts w:ascii="Times New Roman" w:hAnsi="Times New Roman"/>
        </w:rPr>
        <w:t>L</w:t>
      </w:r>
      <w:r>
        <w:rPr>
          <w:rFonts w:ascii="Times New Roman" w:hAnsi="Times New Roman"/>
          <w:color w:val="000000"/>
        </w:rPr>
        <w:t xml:space="preserve">e parti convengono che non sono previste spese di compartecipazione da parte degli utenti, che è ammesso il solo rimborso dei costi effettivamente sostenuti ed è esclusa ogni forma di remunerazione. </w:t>
      </w:r>
    </w:p>
    <w:p>
      <w:pPr>
        <w:pStyle w:val="Normal"/>
        <w:spacing w:lineRule="auto" w:line="276" w:before="0" w:after="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spacing w:lineRule="auto" w:line="276" w:before="0" w:after="0"/>
        <w:jc w:val="center"/>
        <w:rPr/>
      </w:pPr>
      <w:r>
        <w:rPr>
          <w:rFonts w:eastAsia="Times New Roman" w:cs="Times New Roman" w:ascii="Times New Roman" w:hAnsi="Times New Roman"/>
          <w:b/>
          <w:sz w:val="24"/>
          <w:szCs w:val="24"/>
        </w:rPr>
        <w:t>Art 11</w:t>
      </w:r>
    </w:p>
    <w:p>
      <w:pPr>
        <w:pStyle w:val="Normal"/>
        <w:spacing w:lineRule="auto" w:line="276" w:before="0" w:after="0"/>
        <w:jc w:val="center"/>
        <w:rPr/>
      </w:pPr>
      <w:r>
        <w:rPr>
          <w:rFonts w:eastAsia="Times New Roman" w:cs="Times New Roman" w:ascii="Times New Roman" w:hAnsi="Times New Roman"/>
          <w:b/>
          <w:sz w:val="24"/>
          <w:szCs w:val="24"/>
        </w:rPr>
        <w:t>USO DEGLI SPAZI</w:t>
      </w:r>
    </w:p>
    <w:p>
      <w:pPr>
        <w:pStyle w:val="Normal"/>
        <w:spacing w:lineRule="auto" w:line="276" w:before="0" w:after="0"/>
        <w:jc w:val="both"/>
        <w:rPr>
          <w:rFonts w:ascii="Times New Roman" w:hAnsi="Times New Roman"/>
        </w:rPr>
      </w:pPr>
      <w:r>
        <w:rPr>
          <w:rFonts w:eastAsia="Times New Roman" w:cs="Times New Roman" w:ascii="Times New Roman" w:hAnsi="Times New Roman"/>
        </w:rPr>
        <w:t xml:space="preserve">Asp mette a disposizione i luoghi dello Spazio Multifunzione, del parco circostante e della Sala Tagliaferri per la progettazione in oggetto al fine di favorire l’integrazione delle varie offerte messe in campo, secondo un calendario di attività da costruire con i diversi soggetti coinvolti in sede progettuale. </w:t>
      </w:r>
    </w:p>
    <w:p>
      <w:pPr>
        <w:pStyle w:val="Normal"/>
        <w:spacing w:lineRule="auto" w:line="276" w:before="0" w:after="0"/>
        <w:jc w:val="both"/>
        <w:rPr>
          <w:rFonts w:ascii="Times New Roman" w:hAnsi="Times New Roman"/>
        </w:rPr>
      </w:pPr>
      <w:r>
        <w:rPr>
          <w:rFonts w:eastAsia="Times New Roman" w:cs="Times New Roman" w:ascii="Times New Roman" w:hAnsi="Times New Roman"/>
        </w:rPr>
        <w:t>Lo Spazio Multifunzione sarà anche la sede degli incontri delle équipe afferenti alle diverse linee di attività del progetto “ZOOM -  Un posto per giovani”, oltre a costituire la sede dei CT e degli psicologi.</w:t>
      </w:r>
    </w:p>
    <w:p>
      <w:pPr>
        <w:pStyle w:val="Normal"/>
        <w:spacing w:lineRule="auto" w:line="276" w:before="0" w:after="0"/>
        <w:jc w:val="both"/>
        <w:rPr>
          <w:rFonts w:ascii="Times New Roman" w:hAnsi="Times New Roman"/>
        </w:rPr>
      </w:pPr>
      <w:r>
        <w:rPr>
          <w:rFonts w:eastAsia="Times New Roman" w:cs="Times New Roman" w:ascii="Times New Roman" w:hAnsi="Times New Roman"/>
        </w:rPr>
        <w:t xml:space="preserve">Le specifiche integrazioni verranno regolate con i soggetti titolari delle singole linee di progetto a cui il Comune affiderà la realizzazione degli interventi con specifici atti seguenti al presente accordo. </w:t>
      </w:r>
    </w:p>
    <w:p>
      <w:pPr>
        <w:pStyle w:val="Normal"/>
        <w:spacing w:lineRule="auto" w:line="276" w:before="0" w:after="0"/>
        <w:jc w:val="both"/>
        <w:rPr>
          <w:rFonts w:ascii="Times New Roman" w:hAnsi="Times New Roman"/>
        </w:rPr>
      </w:pPr>
      <w:r>
        <w:rPr>
          <w:rFonts w:ascii="Times New Roman" w:hAnsi="Times New Roman"/>
        </w:rPr>
        <w:t>Ulteriori eventuali definizioni sull’utilizzo degli spazi da parte dell’AUSL sarà oggetto di successive integrazioni.</w:t>
      </w:r>
    </w:p>
    <w:p>
      <w:pPr>
        <w:pStyle w:val="Normal"/>
        <w:suppressAutoHyphens w:val="false"/>
        <w:spacing w:lineRule="auto" w:line="240" w:before="0" w:after="0"/>
        <w:rPr>
          <w:shd w:fill="FFFF00" w:val="clear"/>
        </w:rPr>
      </w:pPr>
      <w:r>
        <w:rPr>
          <w:shd w:fill="FFFF00" w:val="clear"/>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rPr>
      </w:pPr>
      <w:r>
        <w:rPr>
          <w:rFonts w:eastAsia="Times New Roman" w:cs="Times New Roman" w:ascii="Times New Roman" w:hAnsi="Times New Roman"/>
          <w:b/>
        </w:rPr>
        <w:t>Art. 12</w:t>
      </w:r>
    </w:p>
    <w:p>
      <w:pPr>
        <w:pStyle w:val="Normal"/>
        <w:spacing w:lineRule="auto" w:line="276" w:before="0" w:after="0"/>
        <w:jc w:val="center"/>
        <w:rPr>
          <w:rFonts w:ascii="Times New Roman" w:hAnsi="Times New Roman"/>
        </w:rPr>
      </w:pPr>
      <w:r>
        <w:rPr>
          <w:rFonts w:eastAsia="Times New Roman" w:cs="Times New Roman" w:ascii="Times New Roman" w:hAnsi="Times New Roman"/>
          <w:b/>
        </w:rPr>
        <w:t>SICUREZZA E ASSICURAZIONI</w:t>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both"/>
        <w:rPr>
          <w:rFonts w:ascii="Times New Roman" w:hAnsi="Times New Roman" w:eastAsia="Times New Roman" w:cs="Times New Roman"/>
        </w:rPr>
      </w:pPr>
      <w:r>
        <w:rPr>
          <w:rFonts w:eastAsia="Times New Roman" w:cs="Times New Roman" w:ascii="Times New Roman" w:hAnsi="Times New Roman"/>
        </w:rPr>
        <w:t>Le parti garantiscono ciascuna per il proprio personale coinvolto nel progetto, in linea con le proprie modalità aziendali vigenti:</w:t>
      </w:r>
    </w:p>
    <w:p>
      <w:pPr>
        <w:pStyle w:val="ListParagraph"/>
        <w:numPr>
          <w:ilvl w:val="0"/>
          <w:numId w:val="2"/>
        </w:numPr>
        <w:spacing w:lineRule="auto" w:line="276" w:before="0" w:after="0"/>
        <w:contextualSpacing/>
        <w:jc w:val="both"/>
        <w:rPr>
          <w:rFonts w:ascii="Times New Roman" w:hAnsi="Times New Roman" w:eastAsia="Times New Roman" w:cs="Times New Roman"/>
        </w:rPr>
      </w:pPr>
      <w:r>
        <w:rPr>
          <w:rFonts w:eastAsia="Times New Roman" w:cs="Times New Roman" w:ascii="Times New Roman" w:hAnsi="Times New Roman"/>
        </w:rPr>
        <w:t>il rispetto delle norme sulla Sicurezza nei luoghi di lavoro (D.Lgs. n. 81/2008 e s.m.i.) in relazione al contesto ed alla tipologia di attività prevista dal presente accordo, a tutela della salute e della sicurezza dei lavoratori e sono autonomamente responsabili per i propri lavoratori;</w:t>
      </w:r>
    </w:p>
    <w:p>
      <w:pPr>
        <w:pStyle w:val="ListParagraph"/>
        <w:numPr>
          <w:ilvl w:val="0"/>
          <w:numId w:val="2"/>
        </w:numPr>
        <w:spacing w:lineRule="auto" w:line="276" w:before="0" w:after="0"/>
        <w:contextualSpacing/>
        <w:jc w:val="both"/>
        <w:rPr>
          <w:rFonts w:ascii="Times New Roman" w:hAnsi="Times New Roman" w:eastAsia="Times New Roman" w:cs="Times New Roman"/>
        </w:rPr>
      </w:pPr>
      <w:r>
        <w:rPr>
          <w:rFonts w:eastAsia="Times New Roman" w:cs="Times New Roman" w:ascii="Times New Roman" w:hAnsi="Times New Roman"/>
        </w:rPr>
        <w:t>le coperture assicurative previste per la tipologia di personale coinvolto;</w:t>
      </w:r>
    </w:p>
    <w:p>
      <w:pPr>
        <w:pStyle w:val="ListParagraph"/>
        <w:numPr>
          <w:ilvl w:val="0"/>
          <w:numId w:val="2"/>
        </w:numPr>
        <w:spacing w:lineRule="auto" w:line="276" w:before="0" w:after="0"/>
        <w:contextualSpacing/>
        <w:jc w:val="both"/>
        <w:rPr>
          <w:rFonts w:ascii="Times New Roman" w:hAnsi="Times New Roman" w:eastAsia="Times New Roman" w:cs="Times New Roman"/>
        </w:rPr>
      </w:pPr>
      <w:r>
        <w:rPr>
          <w:rFonts w:eastAsia="Times New Roman" w:cs="Times New Roman"/>
        </w:rPr>
        <w:t>il rispetto del codice di comportamento vigente.</w:t>
      </w:r>
    </w:p>
    <w:p>
      <w:pPr>
        <w:pStyle w:val="ListParagraph"/>
        <w:spacing w:lineRule="auto" w:line="276" w:before="0" w:after="0"/>
        <w:ind w:left="0"/>
        <w:contextualSpacing/>
        <w:jc w:val="both"/>
        <w:rPr>
          <w:rFonts w:ascii="Times New Roman" w:hAnsi="Times New Roman" w:eastAsia="Times New Roman" w:cs="Times New Roman"/>
        </w:rPr>
      </w:pPr>
      <w:r>
        <w:rPr>
          <w:rFonts w:eastAsia="Times New Roman" w:cs="Times New Roman" w:ascii="Times New Roman" w:hAnsi="Times New Roman"/>
          <w:color w:val="000000"/>
        </w:rPr>
        <w:t xml:space="preserve">Gli Enti sottoscrivono autonome polizze assicurative.  </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13</w:t>
      </w:r>
    </w:p>
    <w:p>
      <w:pPr>
        <w:pStyle w:val="Normal"/>
        <w:spacing w:lineRule="auto" w:line="276" w:before="0" w:after="0"/>
        <w:jc w:val="center"/>
        <w:rPr/>
      </w:pPr>
      <w:r>
        <w:rPr>
          <w:rFonts w:eastAsia="Times New Roman" w:cs="Times New Roman" w:ascii="Times New Roman" w:hAnsi="Times New Roman"/>
          <w:b/>
        </w:rPr>
        <w:t xml:space="preserve">DURATA </w:t>
      </w:r>
    </w:p>
    <w:p>
      <w:pPr>
        <w:pStyle w:val="Normal"/>
        <w:spacing w:lineRule="auto" w:line="276" w:before="0" w:after="0"/>
        <w:jc w:val="both"/>
        <w:rPr/>
      </w:pPr>
      <w:r>
        <w:rPr>
          <w:rFonts w:eastAsia="Times New Roman" w:cs="Times New Roman" w:ascii="Times New Roman" w:hAnsi="Times New Roman"/>
          <w:color w:val="000000"/>
        </w:rPr>
        <w:t xml:space="preserve">Il presente accordo ha durata dalla data di sottoscrizione fino alla data di scadenza prevista nella convenzione stipulata dal Comune con il Ministero, che ha durata di anni 3 dall’Avvio Attività del progetto, indipendentemente da quando decorrono le singole Linee di attività, secondo i termini indicati nell’avviso. </w:t>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rPr>
      </w:pPr>
      <w:r>
        <w:rPr>
          <w:rFonts w:ascii="Times New Roman" w:hAnsi="Times New Roman"/>
        </w:rPr>
      </w:r>
    </w:p>
    <w:p>
      <w:pPr>
        <w:pStyle w:val="Normal"/>
        <w:spacing w:lineRule="auto" w:line="276" w:before="0" w:after="0"/>
        <w:jc w:val="center"/>
        <w:rPr/>
      </w:pPr>
      <w:r>
        <w:rPr>
          <w:rFonts w:eastAsia="Times New Roman" w:cs="Times New Roman" w:ascii="Times New Roman" w:hAnsi="Times New Roman"/>
          <w:b/>
        </w:rPr>
        <w:t>Art. 14</w:t>
      </w:r>
    </w:p>
    <w:p>
      <w:pPr>
        <w:pStyle w:val="Normal"/>
        <w:spacing w:lineRule="auto" w:line="276" w:before="0" w:after="0"/>
        <w:jc w:val="center"/>
        <w:rPr/>
      </w:pPr>
      <w:r>
        <w:rPr>
          <w:rFonts w:eastAsia="Times New Roman" w:cs="Times New Roman" w:ascii="Times New Roman" w:hAnsi="Times New Roman"/>
          <w:b/>
        </w:rPr>
        <w:t>RISERVATEZZA E TRATTAMENTO DATI</w:t>
      </w:r>
    </w:p>
    <w:p>
      <w:pPr>
        <w:pStyle w:val="Normal"/>
        <w:spacing w:lineRule="auto" w:line="276" w:before="0" w:after="0"/>
        <w:jc w:val="both"/>
        <w:rPr/>
      </w:pPr>
      <w:r>
        <w:rPr>
          <w:rFonts w:eastAsia="Times New Roman" w:cs="Times New Roman" w:ascii="Times New Roman" w:hAnsi="Times New Roman"/>
          <w:shd w:fill="FFFFFF" w:val="clear"/>
        </w:rPr>
        <w:t xml:space="preserve">Le Parti si impegnano a tenere riservate tutte le informazioni la cui diffusione possa nuocere alla tutela delle persone o dei soggetti comunque coinvolti, impegnandosi ad assicurare l’adozione delle misure indispensabili per la sicurezza dei dati ai sensi di quanto previsto dalla normativa vigente, in particolare GDPR Regolamento 2016/679, ivi compresa la formale individuazione delle figure incaricate al trattamento dei dati personali. </w:t>
      </w:r>
    </w:p>
    <w:p>
      <w:pPr>
        <w:pStyle w:val="Normal"/>
        <w:spacing w:lineRule="auto" w:line="276" w:before="0" w:after="0"/>
        <w:jc w:val="both"/>
        <w:rPr/>
      </w:pPr>
      <w:r>
        <w:rPr>
          <w:rFonts w:eastAsia="Times New Roman" w:cs="Times New Roman" w:ascii="Times New Roman" w:hAnsi="Times New Roman"/>
          <w:color w:val="000000"/>
          <w:shd w:fill="FFFFFF" w:val="clear"/>
        </w:rPr>
        <w:t xml:space="preserve">Ogni atto di autorizzazione al Trattamento da parte del personale coinvolto nell’attuazione/gestione del progetto e/o nomina di Responsabile del Trattamento sarà formalizzato successivamente alla sottoscrizione del presente accordo. </w:t>
      </w:r>
      <w:r>
        <w:rPr>
          <w:rFonts w:eastAsia="Times New Roman" w:cs="Times New Roman" w:ascii="Times New Roman" w:hAnsi="Times New Roman"/>
          <w:shd w:fill="FFFFFF" w:val="clear"/>
        </w:rPr>
        <w:t>In relazione alle azioni della linea 5.1 le modalità informatizzate e di raccolta dati saranno concordate, successivamente al presente accordo tra gli uffici competenti in materia di Privacy e ICT delle organizzazioni sottoscriventi.</w:t>
      </w:r>
    </w:p>
    <w:p>
      <w:pPr>
        <w:pStyle w:val="Normal"/>
        <w:spacing w:lineRule="auto" w:line="276" w:before="0" w:after="0"/>
        <w:jc w:val="both"/>
        <w:rPr>
          <w:rFonts w:ascii="Times New Roman" w:hAnsi="Times New Roman"/>
        </w:rPr>
      </w:pPr>
      <w:r>
        <w:rPr>
          <w:rFonts w:ascii="Times New Roman" w:hAnsi="Times New Roman"/>
        </w:rPr>
      </w:r>
    </w:p>
    <w:p>
      <w:pPr>
        <w:pStyle w:val="Normal"/>
        <w:spacing w:lineRule="auto" w:line="276" w:before="0" w:after="0"/>
        <w:jc w:val="center"/>
        <w:rPr>
          <w:rFonts w:ascii="Times New Roman" w:hAnsi="Times New Roman"/>
          <w:b/>
          <w:bCs/>
        </w:rPr>
      </w:pPr>
      <w:r>
        <w:rPr>
          <w:rFonts w:ascii="Times New Roman" w:hAnsi="Times New Roman"/>
          <w:b/>
          <w:bCs/>
        </w:rPr>
      </w:r>
    </w:p>
    <w:p>
      <w:pPr>
        <w:pStyle w:val="Normal"/>
        <w:spacing w:lineRule="auto" w:line="276" w:before="0" w:after="0"/>
        <w:jc w:val="center"/>
        <w:rPr/>
      </w:pPr>
      <w:r>
        <w:rPr>
          <w:rFonts w:eastAsia="Times New Roman" w:cs="Times New Roman" w:ascii="Times New Roman" w:hAnsi="Times New Roman"/>
          <w:b/>
        </w:rPr>
        <w:t>Art. 15</w:t>
      </w:r>
    </w:p>
    <w:p>
      <w:pPr>
        <w:pStyle w:val="Normal"/>
        <w:spacing w:lineRule="auto" w:line="276" w:before="0" w:after="0"/>
        <w:jc w:val="center"/>
        <w:rPr/>
      </w:pPr>
      <w:r>
        <w:rPr>
          <w:rFonts w:eastAsia="Times New Roman" w:cs="Times New Roman" w:ascii="Times New Roman" w:hAnsi="Times New Roman"/>
          <w:b/>
        </w:rPr>
        <w:t>FORO COMPETENTE</w:t>
      </w:r>
    </w:p>
    <w:p>
      <w:pPr>
        <w:pStyle w:val="Normal"/>
        <w:spacing w:lineRule="auto" w:line="276" w:before="0" w:after="0"/>
        <w:jc w:val="both"/>
        <w:rPr/>
      </w:pPr>
      <w:r>
        <w:rPr>
          <w:rFonts w:eastAsia="Times New Roman" w:cs="Times New Roman" w:ascii="Times New Roman" w:hAnsi="Times New Roman"/>
        </w:rPr>
        <w:t>Per ogni controversia in ordine alla esecuzione del presente accordo è competente il Foro di Reggio Emilia.</w:t>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76" w:before="0" w:after="0"/>
        <w:ind w:left="708"/>
        <w:jc w:val="both"/>
        <w:rPr/>
      </w:pPr>
      <w:r>
        <w:rPr>
          <w:rFonts w:eastAsia="Times New Roman" w:cs="Times New Roman" w:ascii="Times New Roman" w:hAnsi="Times New Roman"/>
        </w:rPr>
        <w:t>Letto, firmato e sottoscritto</w:t>
      </w:r>
    </w:p>
    <w:p>
      <w:pPr>
        <w:pStyle w:val="Normal"/>
        <w:spacing w:lineRule="auto" w:line="276" w:before="0" w:after="0"/>
        <w:ind w:left="708"/>
        <w:jc w:val="both"/>
        <w:rPr/>
      </w:pPr>
      <w:r>
        <w:rPr>
          <w:rFonts w:eastAsia="Times New Roman" w:cs="Times New Roman" w:ascii="Times New Roman" w:hAnsi="Times New Roman"/>
        </w:rPr>
        <w:t>Per COMUNE DI REGGIO EMILIA</w:t>
        <w:tab/>
        <w:tab/>
      </w:r>
    </w:p>
    <w:p>
      <w:pPr>
        <w:pStyle w:val="Normal"/>
        <w:spacing w:lineRule="auto" w:line="276" w:before="0" w:after="0"/>
        <w:ind w:left="708"/>
        <w:jc w:val="both"/>
        <w:rPr>
          <w:rFonts w:ascii="Times New Roman" w:hAnsi="Times New Roman"/>
        </w:rPr>
      </w:pPr>
      <w:r>
        <w:rPr>
          <w:rFonts w:ascii="Times New Roman" w:hAnsi="Times New Roman"/>
        </w:rPr>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t>Per Azienda Unità Sanitaria IRCCS</w:t>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t>di Reggio Emilia – il Direttore Generale</w:t>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lineRule="auto" w:line="276" w:before="0" w:after="0"/>
        <w:ind w:left="708"/>
        <w:jc w:val="both"/>
        <w:rPr>
          <w:rFonts w:ascii="Times New Roman" w:hAnsi="Times New Roman" w:eastAsia="Times New Roman" w:cs="Times New Roman"/>
        </w:rPr>
      </w:pPr>
      <w:r>
        <w:rPr>
          <w:rFonts w:eastAsia="Times New Roman" w:cs="Times New Roman" w:ascii="Times New Roman" w:hAnsi="Times New Roman"/>
        </w:rPr>
        <w:t xml:space="preserve">_______________________________  </w:t>
      </w:r>
    </w:p>
    <w:p>
      <w:pPr>
        <w:pStyle w:val="Normal"/>
        <w:spacing w:lineRule="auto" w:line="276" w:before="0" w:after="0"/>
        <w:ind w:left="708"/>
        <w:jc w:val="both"/>
        <w:rPr/>
      </w:pPr>
      <w:r>
        <w:rPr>
          <w:rFonts w:eastAsia="Times New Roman" w:cs="Times New Roman" w:ascii="Times New Roman" w:hAnsi="Times New Roman"/>
        </w:rPr>
        <w:t xml:space="preserve">           </w:t>
      </w:r>
    </w:p>
    <w:p>
      <w:pPr>
        <w:pStyle w:val="Normal"/>
        <w:spacing w:lineRule="auto" w:line="276" w:before="0" w:after="0"/>
        <w:ind w:left="708"/>
        <w:jc w:val="both"/>
        <w:rPr>
          <w:rFonts w:ascii="Times New Roman" w:hAnsi="Times New Roman"/>
        </w:rPr>
      </w:pPr>
      <w:r>
        <w:rPr>
          <w:rFonts w:ascii="Times New Roman" w:hAnsi="Times New Roman"/>
        </w:rPr>
      </w:r>
    </w:p>
    <w:p>
      <w:pPr>
        <w:pStyle w:val="Normal"/>
        <w:spacing w:lineRule="auto" w:line="276" w:before="0" w:after="0"/>
        <w:ind w:left="708"/>
        <w:jc w:val="both"/>
        <w:rPr/>
      </w:pPr>
      <w:r>
        <w:rPr/>
      </w:r>
    </w:p>
    <w:sectPr>
      <w:headerReference w:type="default" r:id="rId2"/>
      <w:footerReference w:type="default" r:id="rId3"/>
      <w:type w:val="nextPage"/>
      <w:pgSz w:w="11906" w:h="16838"/>
      <w:pgMar w:left="1022" w:right="909" w:gutter="0" w:header="1322" w:top="1828" w:footer="0" w:bottom="563"/>
      <w:pgNumType w:start="1" w:fmt="decimal"/>
      <w:formProt w:val="false"/>
      <w:textDirection w:val="lrTb"/>
      <w:docGrid w:type="default" w:linePitch="10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alibri Light">
    <w:charset w:val="01"/>
    <w:family w:val="swiss"/>
    <w:pitch w:val="default"/>
  </w:font>
  <w:font w:name="Segoe UI">
    <w:charset w:val="01"/>
    <w:family w:val="swiss"/>
    <w:pitch w:val="default"/>
  </w:font>
  <w:font w:name="Trebuchet MS">
    <w:charset w:val="01"/>
    <w:family w:val="swiss"/>
    <w:pitch w:val="default"/>
  </w:font>
  <w:font w:name="OpenSymbol">
    <w:altName w:val="Arial Unicode MS"/>
    <w:charset w:val="01"/>
    <w:family w:val="swiss"/>
    <w:pitch w:val="default"/>
  </w:font>
  <w:font w:name="Symbol">
    <w:charset w:val="01"/>
    <w:family w:val="swiss"/>
    <w:pitch w:val="default"/>
  </w:font>
  <w:font w:name="Georgia">
    <w:charset w:val="01"/>
    <w:family w:val="swiss"/>
    <w:pitch w:val="default"/>
  </w:font>
  <w:font w:name="Arial">
    <w:charset w:val="01"/>
    <w:family w:val="swiss"/>
    <w:pitch w:val="default"/>
  </w:font>
  <w:font w:name="Times New Roman">
    <w:charset w:val="01"/>
    <w:family w:val="swiss"/>
    <w:pitch w:val="default"/>
  </w:font>
  <w:font w:name="OpenSymbol">
    <w:altName w:val="Arial Unicode MS"/>
    <w:charset w:val="01"/>
    <w:family w:val="auto"/>
    <w:pitch w:val="variable"/>
  </w:font>
  <w:font w:name="Times New Roman">
    <w:charset w:val="01"/>
    <w:family w:val="roman"/>
    <w:pitch w:val="variable"/>
  </w:font>
  <w:font w:name="Courier New">
    <w:charset w:val="01"/>
    <w:family w:val="modern"/>
    <w:pitch w:val="fixed"/>
  </w:font>
  <w:font w:name="Noto Sans Symbols">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146733946"/>
    </w:sdtPr>
    <w:sdtContent>
      <w:p>
        <w:pPr>
          <w:pStyle w:val="Footer"/>
          <w:jc w:val="right"/>
          <w:rPr/>
        </w:pPr>
        <w:r>
          <w:rPr/>
          <w:fldChar w:fldCharType="begin"/>
        </w:r>
        <w:r>
          <w:rPr/>
          <w:instrText xml:space="preserve"> PAGE </w:instrText>
        </w:r>
        <w:r>
          <w:rPr/>
          <w:fldChar w:fldCharType="separate"/>
        </w:r>
        <w:r>
          <w:rPr/>
          <w:t>14</w:t>
        </w:r>
        <w:r>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60"/>
      <w:rPr/>
    </w:pPr>
    <w:r>
      <w:rPr/>
      <w:drawing>
        <wp:anchor behindDoc="1" distT="0" distB="0" distL="0" distR="0" simplePos="0" locked="0" layoutInCell="1" allowOverlap="1" relativeHeight="15">
          <wp:simplePos x="0" y="0"/>
          <wp:positionH relativeFrom="column">
            <wp:posOffset>5845810</wp:posOffset>
          </wp:positionH>
          <wp:positionV relativeFrom="paragraph">
            <wp:posOffset>-534670</wp:posOffset>
          </wp:positionV>
          <wp:extent cx="619760" cy="584200"/>
          <wp:effectExtent l="0" t="0" r="0" b="0"/>
          <wp:wrapNone/>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1"/>
                  <a:srcRect l="-4350" t="-5085" r="-4350" b="-5085"/>
                  <a:stretch>
                    <a:fillRect/>
                  </a:stretch>
                </pic:blipFill>
                <pic:spPr bwMode="auto">
                  <a:xfrm>
                    <a:off x="0" y="0"/>
                    <a:ext cx="619760" cy="584200"/>
                  </a:xfrm>
                  <a:prstGeom prst="rect">
                    <a:avLst/>
                  </a:prstGeom>
                </pic:spPr>
              </pic:pic>
            </a:graphicData>
          </a:graphic>
        </wp:anchor>
      </w:drawing>
      <w:drawing>
        <wp:anchor behindDoc="1" distT="0" distB="0" distL="0" distR="0" simplePos="0" locked="0" layoutInCell="0" allowOverlap="1" relativeHeight="29">
          <wp:simplePos x="0" y="0"/>
          <wp:positionH relativeFrom="column">
            <wp:posOffset>1270</wp:posOffset>
          </wp:positionH>
          <wp:positionV relativeFrom="paragraph">
            <wp:posOffset>-359410</wp:posOffset>
          </wp:positionV>
          <wp:extent cx="5626735" cy="402590"/>
          <wp:effectExtent l="0" t="0" r="0" b="0"/>
          <wp:wrapSquare wrapText="largest"/>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2"/>
                  <a:stretch>
                    <a:fillRect/>
                  </a:stretch>
                </pic:blipFill>
                <pic:spPr bwMode="auto">
                  <a:xfrm>
                    <a:off x="0" y="0"/>
                    <a:ext cx="5626735" cy="40259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
    <w:lvl w:ilvl="0">
      <w:start w:val="5"/>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4">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5">
    <w:lvl w:ilvl="0">
      <w:start w:val="1"/>
      <w:numFmt w:val="decimal"/>
      <w:lvlText w:val="%1."/>
      <w:lvlJc w:val="left"/>
      <w:pPr>
        <w:tabs>
          <w:tab w:val="num" w:pos="1080"/>
        </w:tabs>
        <w:ind w:left="108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1800"/>
        </w:tabs>
        <w:ind w:left="1800" w:hanging="360"/>
      </w:pPr>
      <w:rPr/>
    </w:lvl>
    <w:lvl w:ilvl="3">
      <w:start w:val="1"/>
      <w:numFmt w:val="decimal"/>
      <w:lvlText w:val="%4."/>
      <w:lvlJc w:val="left"/>
      <w:pPr>
        <w:tabs>
          <w:tab w:val="num" w:pos="2160"/>
        </w:tabs>
        <w:ind w:left="2160" w:hanging="360"/>
      </w:pPr>
      <w:rPr/>
    </w:lvl>
    <w:lvl w:ilvl="4">
      <w:start w:val="1"/>
      <w:numFmt w:val="decimal"/>
      <w:lvlText w:val="%5."/>
      <w:lvlJc w:val="left"/>
      <w:pPr>
        <w:tabs>
          <w:tab w:val="num" w:pos="2520"/>
        </w:tabs>
        <w:ind w:left="2520" w:hanging="360"/>
      </w:pPr>
      <w:rPr/>
    </w:lvl>
    <w:lvl w:ilvl="5">
      <w:start w:val="1"/>
      <w:numFmt w:val="decimal"/>
      <w:lvlText w:val="%6."/>
      <w:lvlJc w:val="left"/>
      <w:pPr>
        <w:tabs>
          <w:tab w:val="num" w:pos="2880"/>
        </w:tabs>
        <w:ind w:left="2880" w:hanging="360"/>
      </w:pPr>
      <w:rPr/>
    </w:lvl>
    <w:lvl w:ilvl="6">
      <w:start w:val="1"/>
      <w:numFmt w:val="decimal"/>
      <w:lvlText w:val="%7."/>
      <w:lvlJc w:val="left"/>
      <w:pPr>
        <w:tabs>
          <w:tab w:val="num" w:pos="3240"/>
        </w:tabs>
        <w:ind w:left="3240" w:hanging="360"/>
      </w:pPr>
      <w:rPr/>
    </w:lvl>
    <w:lvl w:ilvl="7">
      <w:start w:val="1"/>
      <w:numFmt w:val="decimal"/>
      <w:lvlText w:val="%8."/>
      <w:lvlJc w:val="left"/>
      <w:pPr>
        <w:tabs>
          <w:tab w:val="num" w:pos="3600"/>
        </w:tabs>
        <w:ind w:left="3600" w:hanging="360"/>
      </w:pPr>
      <w:rPr/>
    </w:lvl>
    <w:lvl w:ilvl="8">
      <w:start w:val="1"/>
      <w:numFmt w:val="decimal"/>
      <w:lvlText w:val="%9."/>
      <w:lvlJc w:val="left"/>
      <w:pPr>
        <w:tabs>
          <w:tab w:val="num" w:pos="3960"/>
        </w:tabs>
        <w:ind w:left="3960" w:hanging="360"/>
      </w:pPr>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hyphenationZone w:val="283"/>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it-IT" w:eastAsia="it-IT"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Calibri"/>
      <w:color w:val="auto"/>
      <w:kern w:val="0"/>
      <w:sz w:val="22"/>
      <w:szCs w:val="22"/>
      <w:lang w:val="it-IT" w:eastAsia="it-IT" w:bidi="ar-SA"/>
    </w:rPr>
  </w:style>
  <w:style w:type="paragraph" w:styleId="Heading1">
    <w:name w:val="Heading 1"/>
    <w:basedOn w:val="Normal"/>
    <w:next w:val="Normal"/>
    <w:qFormat/>
    <w:pPr>
      <w:keepNext w:val="true"/>
      <w:keepLines/>
      <w:spacing w:before="480" w:after="120"/>
      <w:outlineLvl w:val="0"/>
    </w:pPr>
    <w:rPr>
      <w:b/>
      <w:sz w:val="48"/>
      <w:szCs w:val="48"/>
    </w:rPr>
  </w:style>
  <w:style w:type="paragraph" w:styleId="Heading2">
    <w:name w:val="Heading 2"/>
    <w:basedOn w:val="Normal"/>
    <w:next w:val="Normal"/>
    <w:qFormat/>
    <w:pPr>
      <w:keepNext w:val="true"/>
      <w:keepLines/>
      <w:spacing w:before="360" w:after="80"/>
      <w:outlineLvl w:val="1"/>
    </w:pPr>
    <w:rPr>
      <w:b/>
      <w:sz w:val="36"/>
      <w:szCs w:val="36"/>
    </w:rPr>
  </w:style>
  <w:style w:type="paragraph" w:styleId="Heading3">
    <w:name w:val="Heading 3"/>
    <w:basedOn w:val="Normal"/>
    <w:next w:val="Normal"/>
    <w:link w:val="Titolo3Carattere"/>
    <w:uiPriority w:val="9"/>
    <w:semiHidden/>
    <w:unhideWhenUsed/>
    <w:qFormat/>
    <w:rsid w:val="003c713f"/>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qFormat/>
    <w:pPr>
      <w:keepNext w:val="true"/>
      <w:keepLines/>
      <w:spacing w:before="240" w:after="40"/>
      <w:outlineLvl w:val="3"/>
    </w:pPr>
    <w:rPr>
      <w:b/>
      <w:sz w:val="24"/>
      <w:szCs w:val="24"/>
    </w:rPr>
  </w:style>
  <w:style w:type="paragraph" w:styleId="Heading5">
    <w:name w:val="Heading 5"/>
    <w:basedOn w:val="Normal"/>
    <w:next w:val="Normal"/>
    <w:qFormat/>
    <w:pPr>
      <w:keepNext w:val="true"/>
      <w:keepLines/>
      <w:spacing w:before="220" w:after="40"/>
      <w:outlineLvl w:val="4"/>
    </w:pPr>
    <w:rPr>
      <w:b/>
    </w:rPr>
  </w:style>
  <w:style w:type="paragraph" w:styleId="Heading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455855"/>
    <w:rPr>
      <w:sz w:val="16"/>
      <w:szCs w:val="16"/>
    </w:rPr>
  </w:style>
  <w:style w:type="character" w:styleId="TestocommentoCarattere" w:customStyle="1">
    <w:name w:val="Testo commento Carattere"/>
    <w:basedOn w:val="DefaultParagraphFont"/>
    <w:link w:val="Annotationtext"/>
    <w:uiPriority w:val="99"/>
    <w:semiHidden/>
    <w:qFormat/>
    <w:rsid w:val="00455855"/>
    <w:rPr>
      <w:sz w:val="20"/>
      <w:szCs w:val="20"/>
    </w:rPr>
  </w:style>
  <w:style w:type="character" w:styleId="SoggettocommentoCarattere" w:customStyle="1">
    <w:name w:val="Soggetto commento Carattere"/>
    <w:basedOn w:val="TestocommentoCarattere"/>
    <w:link w:val="Annotationsubject"/>
    <w:uiPriority w:val="99"/>
    <w:semiHidden/>
    <w:qFormat/>
    <w:rsid w:val="00455855"/>
    <w:rPr>
      <w:b/>
      <w:bCs/>
      <w:sz w:val="20"/>
      <w:szCs w:val="20"/>
    </w:rPr>
  </w:style>
  <w:style w:type="character" w:styleId="TestofumettoCarattere" w:customStyle="1">
    <w:name w:val="Testo fumetto Carattere"/>
    <w:basedOn w:val="DefaultParagraphFont"/>
    <w:link w:val="BalloonText"/>
    <w:uiPriority w:val="99"/>
    <w:semiHidden/>
    <w:qFormat/>
    <w:rsid w:val="00455855"/>
    <w:rPr>
      <w:rFonts w:ascii="Segoe UI" w:hAnsi="Segoe UI" w:cs="Segoe UI"/>
      <w:sz w:val="18"/>
      <w:szCs w:val="18"/>
    </w:rPr>
  </w:style>
  <w:style w:type="character" w:styleId="Titolo3Carattere" w:customStyle="1">
    <w:name w:val="Titolo 3 Carattere"/>
    <w:basedOn w:val="DefaultParagraphFont"/>
    <w:uiPriority w:val="9"/>
    <w:semiHidden/>
    <w:qFormat/>
    <w:rsid w:val="003c713f"/>
    <w:rPr>
      <w:rFonts w:ascii="Calibri Light" w:hAnsi="Calibri Light" w:eastAsia="" w:cs="" w:asciiTheme="majorHAnsi" w:cstheme="majorBidi" w:eastAsiaTheme="majorEastAsia" w:hAnsiTheme="majorHAnsi"/>
      <w:color w:themeColor="accent1" w:themeShade="7f" w:val="1F4D78"/>
      <w:sz w:val="24"/>
      <w:szCs w:val="24"/>
    </w:rPr>
  </w:style>
  <w:style w:type="character" w:styleId="Hyperlink">
    <w:name w:val="Hyperlink"/>
    <w:basedOn w:val="DefaultParagraphFont"/>
    <w:rPr>
      <w:color w:themeColor="hyperlink" w:val="0563C1"/>
      <w:u w:val="single"/>
    </w:rPr>
  </w:style>
  <w:style w:type="character" w:styleId="FollowedHyperlink">
    <w:name w:val="FollowedHyperlink"/>
    <w:rPr>
      <w:rFonts w:ascii="Trebuchet MS" w:hAnsi="Trebuchet MS" w:cs="Trebuchet MS"/>
      <w:color w:val="800080"/>
      <w:u w:val="single"/>
    </w:rPr>
  </w:style>
  <w:style w:type="character" w:styleId="Caratteridinumerazione" w:customStyle="1">
    <w:name w:val="Caratteri di numerazione"/>
    <w:qFormat/>
    <w:rPr/>
  </w:style>
  <w:style w:type="character" w:styleId="Punti" w:customStyle="1">
    <w:name w:val="Punti"/>
    <w:qFormat/>
    <w:rPr>
      <w:rFonts w:ascii="OpenSymbol" w:hAnsi="OpenSymbol" w:eastAsia="OpenSymbol" w:cs="OpenSymbol"/>
    </w:rPr>
  </w:style>
  <w:style w:type="character" w:styleId="FootnoteReference1" w:customStyle="1">
    <w:name w:val="Footnote Reference1"/>
    <w:qFormat/>
    <w:rPr>
      <w:vertAlign w:val="superscript"/>
    </w:rPr>
  </w:style>
  <w:style w:type="character" w:styleId="Caratterinotaapidipagina" w:customStyle="1">
    <w:name w:val="Caratteri nota a piè di pagina"/>
    <w:qFormat/>
    <w:rPr>
      <w:vertAlign w:val="superscript"/>
    </w:rPr>
  </w:style>
  <w:style w:type="character" w:styleId="FootnoteReference">
    <w:name w:val="Footnote Reference"/>
    <w:rPr>
      <w:vertAlign w:val="superscript"/>
    </w:rPr>
  </w:style>
  <w:style w:type="character" w:styleId="WW8Num22z0" w:customStyle="1">
    <w:name w:val="WW8Num22z0"/>
    <w:qFormat/>
    <w:rPr>
      <w:rFonts w:ascii="Symbol" w:hAnsi="Symbol" w:cs="Symbol"/>
    </w:rPr>
  </w:style>
  <w:style w:type="character" w:styleId="WW8Num22z1" w:customStyle="1">
    <w:name w:val="WW8Num22z1"/>
    <w:qFormat/>
    <w:rPr>
      <w:rFonts w:ascii="OpenSymbol;Arial Unicode MS" w:hAnsi="OpenSymbol;Arial Unicode MS" w:cs="OpenSymbol;Arial Unicode MS"/>
    </w:rPr>
  </w:style>
  <w:style w:type="character" w:styleId="Strong">
    <w:name w:val="Strong"/>
    <w:qFormat/>
    <w:rPr>
      <w:b/>
      <w:bCs/>
    </w:rPr>
  </w:style>
  <w:style w:type="character" w:styleId="PidipaginaCarattere" w:customStyle="1">
    <w:name w:val="Piè di pagina Carattere"/>
    <w:basedOn w:val="DefaultParagraphFont"/>
    <w:uiPriority w:val="99"/>
    <w:qFormat/>
    <w:rsid w:val="00fe341e"/>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customStyle="1">
    <w:name w:val="Indice"/>
    <w:basedOn w:val="Normal"/>
    <w:qFormat/>
    <w:pPr>
      <w:suppressLineNumbers/>
    </w:pPr>
    <w:rPr>
      <w:rFonts w:ascii="Trebuchet MS" w:hAnsi="Trebuchet MS" w:cs="Arial Unicode MS"/>
    </w:rPr>
  </w:style>
  <w:style w:type="paragraph" w:styleId="Title">
    <w:name w:val="Title"/>
    <w:basedOn w:val="Normal"/>
    <w:next w:val="BodyText"/>
    <w:qFormat/>
    <w:pPr>
      <w:keepNext w:val="true"/>
      <w:keepLines/>
      <w:spacing w:before="480" w:after="120"/>
    </w:pPr>
    <w:rPr>
      <w:b/>
      <w:sz w:val="72"/>
      <w:szCs w:val="72"/>
    </w:rPr>
  </w:style>
  <w:style w:type="paragraph" w:styleId="Caption1">
    <w:name w:val="caption1"/>
    <w:basedOn w:val="Normal"/>
    <w:qFormat/>
    <w:pPr>
      <w:suppressLineNumbers/>
      <w:spacing w:before="120" w:after="120"/>
    </w:pPr>
    <w:rPr>
      <w:rFonts w:ascii="Trebuchet MS" w:hAnsi="Trebuchet MS" w:cs="Arial Unicode MS"/>
      <w:i/>
      <w:iCs/>
      <w:sz w:val="24"/>
      <w:szCs w:val="24"/>
    </w:rPr>
  </w:style>
  <w:style w:type="paragraph" w:styleId="Caption11" w:customStyle="1">
    <w:name w:val="caption11"/>
    <w:basedOn w:val="Normal"/>
    <w:qFormat/>
    <w:pPr>
      <w:suppressLineNumbers/>
      <w:spacing w:before="120" w:after="120"/>
    </w:pPr>
    <w:rPr>
      <w:rFonts w:ascii="Trebuchet MS" w:hAnsi="Trebuchet MS" w:cs="Arial Unicode MS"/>
      <w:i/>
      <w:iCs/>
      <w:sz w:val="24"/>
      <w:szCs w:val="24"/>
    </w:rPr>
  </w:style>
  <w:style w:type="paragraph" w:styleId="Caption111" w:customStyle="1">
    <w:name w:val="caption111"/>
    <w:basedOn w:val="Normal"/>
    <w:qFormat/>
    <w:pPr>
      <w:suppressLineNumbers/>
      <w:spacing w:before="120" w:after="120"/>
    </w:pPr>
    <w:rPr>
      <w:rFonts w:ascii="Trebuchet MS" w:hAnsi="Trebuchet MS" w:cs="Arial Unicode MS"/>
      <w:i/>
      <w:iCs/>
      <w:sz w:val="24"/>
      <w:szCs w:val="24"/>
    </w:rPr>
  </w:style>
  <w:style w:type="paragraph" w:styleId="ListParagraph">
    <w:name w:val="List Paragraph"/>
    <w:basedOn w:val="Normal"/>
    <w:uiPriority w:val="34"/>
    <w:qFormat/>
    <w:rsid w:val="00ef3e31"/>
    <w:pPr>
      <w:spacing w:before="0" w:after="160"/>
      <w:ind w:left="720"/>
      <w:contextualSpacing/>
    </w:pPr>
    <w:rPr/>
  </w:style>
  <w:style w:type="paragraph" w:styleId="Annotationtext">
    <w:name w:val="annotation text"/>
    <w:basedOn w:val="Normal"/>
    <w:link w:val="TestocommentoCarattere"/>
    <w:uiPriority w:val="99"/>
    <w:semiHidden/>
    <w:unhideWhenUsed/>
    <w:qFormat/>
    <w:rsid w:val="00455855"/>
    <w:pPr>
      <w:spacing w:lineRule="auto" w:line="240"/>
    </w:pPr>
    <w:rPr>
      <w:sz w:val="20"/>
      <w:szCs w:val="20"/>
    </w:rPr>
  </w:style>
  <w:style w:type="paragraph" w:styleId="Annotationsubject">
    <w:name w:val="annotation subject"/>
    <w:basedOn w:val="Annotationtext"/>
    <w:next w:val="Annotationtext"/>
    <w:link w:val="SoggettocommentoCarattere"/>
    <w:uiPriority w:val="99"/>
    <w:semiHidden/>
    <w:unhideWhenUsed/>
    <w:qFormat/>
    <w:rsid w:val="00455855"/>
    <w:pPr/>
    <w:rPr>
      <w:b/>
      <w:bCs/>
    </w:rPr>
  </w:style>
  <w:style w:type="paragraph" w:styleId="BalloonText">
    <w:name w:val="Balloon Text"/>
    <w:basedOn w:val="Normal"/>
    <w:link w:val="TestofumettoCarattere"/>
    <w:uiPriority w:val="99"/>
    <w:semiHidden/>
    <w:unhideWhenUsed/>
    <w:qFormat/>
    <w:rsid w:val="00455855"/>
    <w:pPr>
      <w:spacing w:lineRule="auto" w:line="240" w:before="0" w:after="0"/>
    </w:pPr>
    <w:rPr>
      <w:rFonts w:ascii="Segoe UI" w:hAnsi="Segoe UI" w:cs="Segoe UI"/>
      <w:sz w:val="18"/>
      <w:szCs w:val="18"/>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Default" w:customStyle="1">
    <w:name w:val="Default"/>
    <w:qFormat/>
    <w:pPr>
      <w:widowControl/>
      <w:suppressAutoHyphens w:val="true"/>
      <w:bidi w:val="0"/>
      <w:spacing w:before="0" w:after="0"/>
      <w:jc w:val="left"/>
    </w:pPr>
    <w:rPr>
      <w:rFonts w:ascii="Calibri" w:hAnsi="Calibri" w:eastAsia="Calibri" w:cs="Calibri"/>
      <w:color w:val="000000"/>
      <w:kern w:val="0"/>
      <w:sz w:val="24"/>
      <w:szCs w:val="22"/>
      <w:lang w:val="it-IT" w:eastAsia="it-IT" w:bidi="ar-SA"/>
    </w:rPr>
  </w:style>
  <w:style w:type="paragraph" w:styleId="Intestazioneepidipagina" w:customStyle="1">
    <w:name w:val="Intestazione e piè di pagina"/>
    <w:basedOn w:val="Normal"/>
    <w:qFormat/>
    <w:pPr>
      <w:suppressLineNumbers/>
      <w:tabs>
        <w:tab w:val="clear" w:pos="720"/>
        <w:tab w:val="center" w:pos="4987" w:leader="none"/>
        <w:tab w:val="right" w:pos="9975" w:leader="none"/>
      </w:tabs>
    </w:pPr>
    <w:rPr/>
  </w:style>
  <w:style w:type="paragraph" w:styleId="Header">
    <w:name w:val="Header"/>
    <w:basedOn w:val="Intestazioneepidipagina"/>
    <w:pPr/>
    <w:rPr/>
  </w:style>
  <w:style w:type="paragraph" w:styleId="FootnoteText">
    <w:name w:val="Footnote Text"/>
    <w:basedOn w:val="Normal"/>
    <w:pPr>
      <w:suppressLineNumbers/>
      <w:ind w:hanging="340" w:left="340"/>
    </w:pPr>
    <w:rPr>
      <w:sz w:val="20"/>
      <w:szCs w:val="20"/>
    </w:rPr>
  </w:style>
  <w:style w:type="paragraph" w:styleId="Revision">
    <w:name w:val="Revision"/>
    <w:uiPriority w:val="99"/>
    <w:semiHidden/>
    <w:qFormat/>
    <w:rsid w:val="00181250"/>
    <w:pPr>
      <w:widowControl/>
      <w:suppressAutoHyphens w:val="false"/>
      <w:bidi w:val="0"/>
      <w:spacing w:before="0" w:after="0"/>
      <w:jc w:val="left"/>
    </w:pPr>
    <w:rPr>
      <w:rFonts w:ascii="Calibri" w:hAnsi="Calibri" w:eastAsia="Calibri" w:cs="Calibri"/>
      <w:color w:val="auto"/>
      <w:kern w:val="0"/>
      <w:sz w:val="22"/>
      <w:szCs w:val="22"/>
      <w:lang w:val="it-IT" w:eastAsia="it-IT" w:bidi="ar-SA"/>
    </w:rPr>
  </w:style>
  <w:style w:type="paragraph" w:styleId="Footer">
    <w:name w:val="Footer"/>
    <w:basedOn w:val="Normal"/>
    <w:link w:val="PidipaginaCarattere"/>
    <w:uiPriority w:val="99"/>
    <w:unhideWhenUsed/>
    <w:rsid w:val="00fe341e"/>
    <w:pPr>
      <w:tabs>
        <w:tab w:val="clear" w:pos="720"/>
        <w:tab w:val="center" w:pos="4819" w:leader="none"/>
        <w:tab w:val="right" w:pos="9638" w:leader="none"/>
      </w:tabs>
      <w:spacing w:lineRule="auto" w:line="240" w:before="0" w:after="0"/>
    </w:pPr>
    <w:rPr/>
  </w:style>
  <w:style w:type="numbering" w:styleId="NoList" w:default="1">
    <w:name w:val="No List"/>
    <w:uiPriority w:val="99"/>
    <w:semiHidden/>
    <w:unhideWhenUsed/>
    <w:qFormat/>
  </w:style>
  <w:style w:type="numbering" w:styleId="WW8Num22" w:customStyle="1">
    <w:name w:val="WW8Num22"/>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Grigliatabella">
    <w:name w:val="Table Grid"/>
    <w:basedOn w:val="Tabellanormale"/>
    <w:uiPriority w:val="39"/>
    <w:rsid w:val="00bf5a6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hYomNP8+JyFHTSM42TqZ/6uNQfYA==">CgMxLjAyCGguZ2pkZ3hzOAByITFCdlZXYlQ4V2NhN0hLbzdJQjZ0TGVEaGs2SEZrYjFvRw==</go:docsCustomData>
</go:gDocsCustomXmlDataStorage>
</file>

<file path=customXml/itemProps1.xml><?xml version="1.0" encoding="utf-8"?>
<ds:datastoreItem xmlns:ds="http://schemas.openxmlformats.org/officeDocument/2006/customXml" ds:itemID="{0737E524-5C22-4EBB-9C4D-CF132B7FA5C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LibreOffice/7.6.4.1$Windows_X86_64 LibreOffice_project/e19e193f88cd6c0525a17fb7a176ed8e6a3e2aa1</Application>
  <AppVersion>15.0000</AppVersion>
  <Pages>15</Pages>
  <Words>7142</Words>
  <Characters>42456</Characters>
  <CharactersWithSpaces>49791</CharactersWithSpaces>
  <Paragraphs>226</Paragraphs>
  <Company>ASP Reggio Emilia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2025-06-20T07:17:00Z</dcterms:created>
  <dc:creator>Ruffo, Rosa (Bip Group)</dc:creator>
  <dc:description/>
  <dc:language>it-IT</dc:language>
  <cp:lastModifiedBy>Prandi Federica</cp:lastModifiedBy>
  <cp:lastPrinted>2025-06-05T10:36:00Z</cp:lastPrinted>
  <dcterms:modified xsi:type="dcterms:W3CDTF">2025-06-20T09:54:00Z</dcterms:modified>
  <cp:revision>4</cp:revision>
  <dc:subject/>
  <dc:title>Prot</dc:title>
</cp:coreProperties>
</file>

<file path=docProps/custom.xml><?xml version="1.0" encoding="utf-8"?>
<Properties xmlns="http://schemas.openxmlformats.org/officeDocument/2006/custom-properties" xmlns:vt="http://schemas.openxmlformats.org/officeDocument/2006/docPropsVTypes"/>
</file>