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both"/>
        <w:rPr>
          <w:rFonts w:ascii="Open Sans Light" w:hAnsi="Open Sans Light" w:cs="Open Sans Light"/>
          <w:b/>
          <w:caps/>
          <w:sz w:val="20"/>
          <w:lang w:val="it-IT"/>
        </w:rPr>
      </w:pPr>
      <w:r>
        <w:rPr>
          <w:rFonts w:cs="Open Sans Light" w:ascii="Open Sans Light" w:hAnsi="Open Sans Light"/>
          <w:b/>
          <w:caps/>
          <w:sz w:val="20"/>
          <w:lang w:val="it-IT"/>
        </w:rPr>
        <w:t>ACCORDO DI COORDINAMENTO E COLLABORAZIONE PER L’ATTUAZIONE DEGLI INTERVENTI DI CONSERVAZIONE e VALORIZZAZIONE DEL PATRIMONIO ARCHEOLOGICO rinvenuto nel corso delle attività di archeologia preventiva nell’ambito dell’intervento “</w:t>
      </w:r>
      <w:bookmarkStart w:id="0" w:name="_Hlk171585131"/>
      <w:r>
        <w:rPr>
          <w:rFonts w:cs="Open Sans Light" w:ascii="Open Sans Light" w:hAnsi="Open Sans Light"/>
          <w:b/>
          <w:caps/>
          <w:sz w:val="20"/>
          <w:lang w:val="it-IT"/>
        </w:rPr>
        <w:t>Prolungamento della S.S.9 - Tangenziale nord di Reggio Emilia nel tratto da S. Prospero Strinati a Corte Tegge (1° e 2° Stralcio)</w:t>
      </w:r>
      <w:bookmarkEnd w:id="0"/>
    </w:p>
    <w:p>
      <w:pPr>
        <w:pStyle w:val="Normal"/>
        <w:spacing w:lineRule="auto" w:line="360" w:before="0" w:after="120"/>
        <w:jc w:val="center"/>
        <w:rPr>
          <w:rFonts w:ascii="Open Sans Light" w:hAnsi="Open Sans Light" w:cs="Open Sans Light"/>
          <w:b/>
          <w:caps/>
          <w:sz w:val="20"/>
          <w:lang w:val="it-IT"/>
        </w:rPr>
      </w:pPr>
      <w:r>
        <w:rPr>
          <w:rFonts w:cs="Open Sans Light" w:ascii="Open Sans Light" w:hAnsi="Open Sans Light"/>
          <w:b/>
          <w:caps/>
          <w:sz w:val="20"/>
          <w:lang w:val="it-IT"/>
        </w:rPr>
        <w:t>TRA</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b/>
          <w:bCs/>
          <w:sz w:val="20"/>
          <w:lang w:val="it-IT"/>
        </w:rPr>
        <w:t>ANAS S.p.A.</w:t>
      </w:r>
      <w:r>
        <w:rPr>
          <w:rFonts w:cs="Open Sans Light" w:ascii="Open Sans Light" w:hAnsi="Open Sans Light"/>
          <w:sz w:val="20"/>
          <w:lang w:val="it-IT"/>
        </w:rPr>
        <w:t xml:space="preserve"> (Società con socio unico soggetta all’attività di direzione e coordinamento di  Ferrovie dello Stato Italiane S.p.A. e concessionaria ai sensi del D.L. 138/2002 convertito con L. 178/2002),  con sede legale in Roma via Monzambano n. 10, capitale sociale Euro 2.269.892.000,00 interamente versato, iscrizione nel Registro delle Imprese di Roma e codice fiscale n. 80208450587, partita IVA n. 02133681003, R.E.A. RM-1024951, PEC anas@postacert.stradeanas.it, rappresentata dal Responsabile della Struttura Territoriale Ing. Massimiliano Campanella in virtù della Procura Speciale rilasciata dall’Amministratore Delegato di ANAS con rogito Notaio Giordano Ester Rep. n° 29631/13332 registrata all’Agenzia delle Entrate di Roma, il 30 dicembre 2025 al n. 42908;  (di seguito, per brevità, ANAS);</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e</w:t>
      </w:r>
    </w:p>
    <w:p>
      <w:pPr>
        <w:pStyle w:val="Normal"/>
        <w:spacing w:lineRule="auto" w:line="360" w:before="0" w:after="120"/>
        <w:jc w:val="both"/>
        <w:rPr>
          <w:rFonts w:ascii="Open Sans Light" w:hAnsi="Open Sans Light" w:cs="Open Sans Light"/>
          <w:b/>
          <w:bCs/>
          <w:sz w:val="20"/>
          <w:lang w:val="it-IT"/>
        </w:rPr>
      </w:pPr>
      <w:r>
        <w:rPr>
          <w:rFonts w:cs="Open Sans Light" w:ascii="Open Sans Light" w:hAnsi="Open Sans Light"/>
          <w:sz w:val="20"/>
          <w:lang w:val="it-IT"/>
        </w:rPr>
        <w:t xml:space="preserve">La </w:t>
      </w:r>
      <w:r>
        <w:rPr>
          <w:rFonts w:cs="Open Sans Light" w:ascii="Open Sans Light" w:hAnsi="Open Sans Light"/>
          <w:b/>
          <w:bCs/>
          <w:sz w:val="20"/>
          <w:lang w:val="it-IT"/>
        </w:rPr>
        <w:t xml:space="preserve">Soprintendenza Archeologia, Belle Arti e Paesaggio per le province di Modena, Reggio Emilia e Ferrara </w:t>
      </w:r>
      <w:r>
        <w:rPr>
          <w:rFonts w:cs="Open Sans Light" w:ascii="Open Sans Light" w:hAnsi="Open Sans Light"/>
          <w:sz w:val="20"/>
          <w:lang w:val="it-IT"/>
        </w:rPr>
        <w:t>con sede in Bologna, via IV Novembre 5, 40123, C.F. 91474080370 rappresentata dalla Soprintendente Arch. Eugenia Valacchi, domiciliata per la carica presso la sede dell'Ente che rappresenta (di seguito, per brevità, SABAP);</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e</w:t>
      </w:r>
    </w:p>
    <w:p>
      <w:pPr>
        <w:pStyle w:val="Normal"/>
        <w:shd w:val="clear" w:color="auto" w:fill="FFFFFF" w:themeFill="background1"/>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 xml:space="preserve">il </w:t>
      </w:r>
      <w:r>
        <w:rPr>
          <w:rFonts w:cs="Open Sans Light" w:ascii="Open Sans Light" w:hAnsi="Open Sans Light"/>
          <w:b/>
          <w:bCs/>
          <w:sz w:val="20"/>
          <w:lang w:val="it-IT"/>
        </w:rPr>
        <w:t>Comune di Reggio Emilia</w:t>
      </w:r>
      <w:r>
        <w:rPr>
          <w:rFonts w:cs="Open Sans Light" w:ascii="Open Sans Light" w:hAnsi="Open Sans Light"/>
          <w:sz w:val="20"/>
          <w:lang w:val="it-IT"/>
        </w:rPr>
        <w:t xml:space="preserve"> con sede in Piazza Prampolini, 1 a Reggio Emilia, P.IVA / CF. </w:t>
      </w:r>
      <w:r>
        <w:rPr>
          <w:rFonts w:cs="Open Sans Light" w:ascii="Open Sans Light" w:hAnsi="Open Sans Light"/>
          <w:sz w:val="20"/>
          <w:shd w:fill="auto" w:val="clear"/>
          <w:lang w:val="it-IT"/>
        </w:rPr>
        <w:t>00145920351, rappresentato dal Dirigente dei Servizi Culturali Dott. Nando Rinaldi delegato con provvedimento n. 127375 del 16.05.2025 dal Sindaco Dott. Marco Massari (di seguito, per brevità, Comune) e giusta deliberazione di GC N…..DEL ….;</w:t>
      </w:r>
    </w:p>
    <w:p>
      <w:pPr>
        <w:pStyle w:val="Normal"/>
        <w:shd w:val="clear" w:color="auto" w:fill="FFFFFF" w:themeFill="background1"/>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di seguito congiuntamente, per brevità, “</w:t>
      </w:r>
      <w:r>
        <w:rPr>
          <w:rFonts w:cs="Open Sans Light" w:ascii="Open Sans Light" w:hAnsi="Open Sans Light"/>
          <w:b/>
          <w:bCs/>
          <w:sz w:val="20"/>
          <w:lang w:val="it-IT"/>
        </w:rPr>
        <w:t>le Parti</w:t>
      </w:r>
      <w:r>
        <w:rPr>
          <w:rFonts w:cs="Open Sans Light" w:ascii="Open Sans Light" w:hAnsi="Open Sans Light"/>
          <w:sz w:val="20"/>
          <w:lang w:val="it-IT"/>
        </w:rPr>
        <w:t>”</w:t>
      </w:r>
    </w:p>
    <w:p>
      <w:pPr>
        <w:pStyle w:val="Normal"/>
        <w:spacing w:lineRule="auto" w:line="360" w:before="0" w:after="120"/>
        <w:jc w:val="center"/>
        <w:rPr>
          <w:rFonts w:ascii="Open Sans Light" w:hAnsi="Open Sans Light" w:cs="Open Sans Light"/>
          <w:b/>
          <w:caps/>
          <w:sz w:val="20"/>
          <w:lang w:val="it-IT"/>
        </w:rPr>
      </w:pPr>
      <w:r>
        <w:rPr>
          <w:rFonts w:cs="Open Sans Light" w:ascii="Open Sans Light" w:hAnsi="Open Sans Light"/>
          <w:b/>
          <w:caps/>
          <w:sz w:val="20"/>
          <w:lang w:val="it-IT"/>
        </w:rPr>
        <w:t>PREMESSO CHE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l’art. 15 della Legge n. 241/1990 ha stabilito che le Amministrazioni Pubbliche possono concludere tra loro accordi per disciplinare lo svolgimento in collaborazione di attività di interesse comune e che per tali accordi si osservano, in quanto applicabili, le disposizioni previste dall’art. 11, commi 2 e 3 della stessa legge;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gli artt.6, 7, 111 e 112 del D.Lgs. n. 42/2004 “Codice dei beni culturali e del paesaggio” prevedono che possano attuarsi forme di cooperazione fra il Ministero della Cultura (a seguito MIC) e soggetti privati e pubblici per promuovere e sviluppare la fruizione dei Beni Culturali (BB.CC.);</w:t>
      </w:r>
    </w:p>
    <w:p>
      <w:pPr>
        <w:pStyle w:val="ListParagraph"/>
        <w:numPr>
          <w:ilvl w:val="0"/>
          <w:numId w:val="1"/>
        </w:numPr>
        <w:spacing w:lineRule="auto" w:line="360" w:before="0" w:after="120"/>
        <w:ind w:hanging="284" w:left="284"/>
        <w:contextualSpacing/>
        <w:jc w:val="both"/>
        <w:rPr>
          <w:rFonts w:ascii="Open Sans Light" w:hAnsi="Open Sans Light" w:cs="Open Sans Light"/>
          <w:i/>
          <w:i/>
          <w:iCs/>
          <w:sz w:val="20"/>
          <w:lang w:val="it-IT"/>
        </w:rPr>
      </w:pPr>
      <w:r>
        <w:rPr>
          <w:rFonts w:cs="Open Sans Light" w:ascii="Open Sans Light" w:hAnsi="Open Sans Light"/>
          <w:sz w:val="20"/>
          <w:lang w:val="it-IT"/>
        </w:rPr>
        <w:t xml:space="preserve">l’art. 28 comma 4 del D.Lgs. n. 42/2004 “Codice dei beni culturali e del paesaggio” prevede che </w:t>
      </w:r>
      <w:r>
        <w:rPr>
          <w:rFonts w:cs="Open Sans Light" w:ascii="Open Sans Light" w:hAnsi="Open Sans Light"/>
          <w:i/>
          <w:iCs/>
          <w:sz w:val="20"/>
          <w:lang w:val="it-IT"/>
        </w:rPr>
        <w:t>“In caso di realizzazione di lavori pubblici ricadenti in aree di interesse archeologico, anche quando per esse non siano intervenute la verifica di cui all'articolo 12, comma 2, o la dichiarazione di cui all'articolo 13, il soprintendente può richiedere l'esecuzione di saggi archeologici preventivi sulle aree medesime a spese del committente”;</w:t>
      </w:r>
    </w:p>
    <w:p>
      <w:pPr>
        <w:pStyle w:val="ListParagraph"/>
        <w:numPr>
          <w:ilvl w:val="0"/>
          <w:numId w:val="1"/>
        </w:numPr>
        <w:spacing w:lineRule="auto" w:line="360" w:before="0" w:after="120"/>
        <w:ind w:hanging="284" w:left="284"/>
        <w:contextualSpacing/>
        <w:jc w:val="both"/>
        <w:rPr>
          <w:rFonts w:ascii="Open Sans Light" w:hAnsi="Open Sans Light" w:cs="Open Sans Light"/>
          <w:i/>
          <w:i/>
          <w:iCs/>
          <w:sz w:val="20"/>
          <w:lang w:val="it-IT"/>
        </w:rPr>
      </w:pPr>
      <w:r>
        <w:rPr>
          <w:rFonts w:cs="Open Sans Light" w:ascii="Open Sans Light" w:hAnsi="Open Sans Light"/>
          <w:sz w:val="20"/>
          <w:lang w:val="it-IT"/>
        </w:rPr>
        <w:t>ai sensi dell’art. 91 del D.Lgs 42/2004  “Codice dei beni culturali e del paesaggio”</w:t>
      </w:r>
      <w:r>
        <w:rPr>
          <w:rFonts w:cs="Open Sans Light" w:ascii="Open Sans Light" w:hAnsi="Open Sans Light"/>
          <w:i/>
          <w:iCs/>
          <w:sz w:val="20"/>
          <w:lang w:val="it-IT"/>
        </w:rPr>
        <w:t xml:space="preserve"> “le cose indicate nell’art. 10, da chiunque e in qualunque modo ritrovate nel sottosuolo o sui fondali marini, appartengono allo Stato e, a seconda che siano immobili o mobili, fanno parte del demanio o del patrimonio indisponibile ai sensi degli artt. 822 e 826 del codice civile”;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le leggi regionali della Regione Emilia-Romagna n. 31 del 25.11.2002 recante “Disciplina generale dell’Edilizia” (in par</w:t>
      </w:r>
      <w:r>
        <w:rPr>
          <w:rFonts w:eastAsia="Calibri" w:cs="Open Sans Light" w:ascii="Open Sans Light" w:hAnsi="Open Sans Light"/>
          <w:sz w:val="20"/>
          <w:lang w:val="it-IT"/>
        </w:rPr>
        <w:t>ti</w:t>
      </w:r>
      <w:r>
        <w:rPr>
          <w:rFonts w:cs="Open Sans Light" w:ascii="Open Sans Light" w:hAnsi="Open Sans Light"/>
          <w:sz w:val="20"/>
          <w:lang w:val="it-IT"/>
        </w:rPr>
        <w:t>colare l’art. 7) e n. 15 del 30.07.2013, “Semplificazione della disciplina edilizia” (in par</w:t>
      </w:r>
      <w:r>
        <w:rPr>
          <w:rFonts w:eastAsia="Calibri" w:cs="Open Sans Light" w:ascii="Open Sans Light" w:hAnsi="Open Sans Light"/>
          <w:sz w:val="20"/>
          <w:lang w:val="it-IT"/>
        </w:rPr>
        <w:t>ti</w:t>
      </w:r>
      <w:r>
        <w:rPr>
          <w:rFonts w:cs="Open Sans Light" w:ascii="Open Sans Light" w:hAnsi="Open Sans Light"/>
          <w:sz w:val="20"/>
          <w:lang w:val="it-IT"/>
        </w:rPr>
        <w:t>colare l’art. 10) dispongono che i proge</w:t>
      </w:r>
      <w:r>
        <w:rPr>
          <w:rFonts w:eastAsia="Calibri" w:cs="Open Sans Light" w:ascii="Open Sans Light" w:hAnsi="Open Sans Light"/>
          <w:sz w:val="20"/>
          <w:lang w:val="it-IT"/>
        </w:rPr>
        <w:t>tti</w:t>
      </w:r>
      <w:r>
        <w:rPr>
          <w:rFonts w:cs="Open Sans Light" w:ascii="Open Sans Light" w:hAnsi="Open Sans Light"/>
          <w:sz w:val="20"/>
          <w:lang w:val="it-IT"/>
        </w:rPr>
        <w:t xml:space="preserve"> di opere pubbliche di interesse regionale e provinciale non sono sogge</w:t>
      </w:r>
      <w:r>
        <w:rPr>
          <w:rFonts w:eastAsia="Calibri" w:cs="Open Sans Light" w:ascii="Open Sans Light" w:hAnsi="Open Sans Light"/>
          <w:sz w:val="20"/>
          <w:lang w:val="it-IT"/>
        </w:rPr>
        <w:t>tti</w:t>
      </w:r>
      <w:r>
        <w:rPr>
          <w:rFonts w:cs="Open Sans Light" w:ascii="Open Sans Light" w:hAnsi="Open Sans Light"/>
          <w:sz w:val="20"/>
          <w:lang w:val="it-IT"/>
        </w:rPr>
        <w:t xml:space="preserve"> all’o</w:t>
      </w:r>
      <w:r>
        <w:rPr>
          <w:rFonts w:eastAsia="Calibri" w:cs="Open Sans Light" w:ascii="Open Sans Light" w:hAnsi="Open Sans Light"/>
          <w:sz w:val="20"/>
          <w:lang w:val="it-IT"/>
        </w:rPr>
        <w:t>tt</w:t>
      </w:r>
      <w:r>
        <w:rPr>
          <w:rFonts w:cs="Open Sans Light" w:ascii="Open Sans Light" w:hAnsi="Open Sans Light"/>
          <w:sz w:val="20"/>
          <w:lang w:val="it-IT"/>
        </w:rPr>
        <w:t xml:space="preserve">enimento dei </w:t>
      </w:r>
      <w:r>
        <w:rPr>
          <w:rFonts w:eastAsia="Calibri" w:cs="Open Sans Light" w:ascii="Open Sans Light" w:hAnsi="Open Sans Light"/>
          <w:sz w:val="20"/>
          <w:lang w:val="it-IT"/>
        </w:rPr>
        <w:t>ti</w:t>
      </w:r>
      <w:r>
        <w:rPr>
          <w:rFonts w:cs="Open Sans Light" w:ascii="Open Sans Light" w:hAnsi="Open Sans Light"/>
          <w:sz w:val="20"/>
          <w:lang w:val="it-IT"/>
        </w:rPr>
        <w:t>toli abilita</w:t>
      </w:r>
      <w:r>
        <w:rPr>
          <w:rFonts w:eastAsia="Calibri" w:cs="Open Sans Light" w:ascii="Open Sans Light" w:hAnsi="Open Sans Light"/>
          <w:sz w:val="20"/>
          <w:lang w:val="it-IT"/>
        </w:rPr>
        <w:t>ti</w:t>
      </w:r>
      <w:r>
        <w:rPr>
          <w:rFonts w:cs="Open Sans Light" w:ascii="Open Sans Light" w:hAnsi="Open Sans Light"/>
          <w:sz w:val="20"/>
          <w:lang w:val="it-IT"/>
        </w:rPr>
        <w:t xml:space="preserve">vi di cui al </w:t>
      </w:r>
      <w:r>
        <w:rPr>
          <w:rFonts w:eastAsia="Calibri" w:cs="Open Sans Light" w:ascii="Open Sans Light" w:hAnsi="Open Sans Light"/>
          <w:sz w:val="20"/>
          <w:lang w:val="it-IT"/>
        </w:rPr>
        <w:t>ti</w:t>
      </w:r>
      <w:r>
        <w:rPr>
          <w:rFonts w:cs="Open Sans Light" w:ascii="Open Sans Light" w:hAnsi="Open Sans Light"/>
          <w:sz w:val="20"/>
          <w:lang w:val="it-IT"/>
        </w:rPr>
        <w:t>tolo II della legge medesima, fa</w:t>
      </w:r>
      <w:r>
        <w:rPr>
          <w:rFonts w:eastAsia="Calibri" w:cs="Open Sans Light" w:ascii="Open Sans Light" w:hAnsi="Open Sans Light"/>
          <w:sz w:val="20"/>
          <w:lang w:val="it-IT"/>
        </w:rPr>
        <w:t>tt</w:t>
      </w:r>
      <w:r>
        <w:rPr>
          <w:rFonts w:cs="Open Sans Light" w:ascii="Open Sans Light" w:hAnsi="Open Sans Light"/>
          <w:sz w:val="20"/>
          <w:lang w:val="it-IT"/>
        </w:rPr>
        <w:t>a salva la necessità dell’accertamento di conformità alle norme urbanis</w:t>
      </w:r>
      <w:r>
        <w:rPr>
          <w:rFonts w:eastAsia="Calibri" w:cs="Open Sans Light" w:ascii="Open Sans Light" w:hAnsi="Open Sans Light"/>
          <w:sz w:val="20"/>
          <w:lang w:val="it-IT"/>
        </w:rPr>
        <w:t>ti</w:t>
      </w:r>
      <w:r>
        <w:rPr>
          <w:rFonts w:cs="Open Sans Light" w:ascii="Open Sans Light" w:hAnsi="Open Sans Light"/>
          <w:sz w:val="20"/>
          <w:lang w:val="it-IT"/>
        </w:rPr>
        <w:t>che ed edilizie, nonché alle norme di sicurezza, sanitarie e di tutela ambientale e paesaggis</w:t>
      </w:r>
      <w:r>
        <w:rPr>
          <w:rFonts w:eastAsia="Calibri" w:cs="Open Sans Light" w:ascii="Open Sans Light" w:hAnsi="Open Sans Light"/>
          <w:sz w:val="20"/>
          <w:lang w:val="it-IT"/>
        </w:rPr>
        <w:t>ti</w:t>
      </w:r>
      <w:r>
        <w:rPr>
          <w:rFonts w:cs="Open Sans Light" w:ascii="Open Sans Light" w:hAnsi="Open Sans Light"/>
          <w:sz w:val="20"/>
          <w:lang w:val="it-IT"/>
        </w:rPr>
        <w:t>ca, compresa quindi la tutela dei beni culturali;</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che la verifica preventiva dell’interesse archeologico legata all’intervento oggetto del presente Accordo viene eseguita sulla base dell’art.25 del D.lgs. 50/2016, vigente all’epoca della trasmissione del progetto della Tangenziale nord alla SABAP; </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che l’art.25 comma 14 del D.lgs. 50/2016 prevede che </w:t>
      </w:r>
      <w:r>
        <w:rPr>
          <w:rFonts w:cs="Open Sans Light" w:ascii="Open Sans Light" w:hAnsi="Open Sans Light"/>
          <w:i/>
          <w:iCs/>
          <w:sz w:val="20"/>
          <w:lang w:val="it-IT"/>
        </w:rPr>
        <w:t>il Soprintendente competente del territorio per il Ministero per i Beni e le Attività Culturali e l’Amministrazione Appaltante stipulino un apposito accordo al fine di disciplinare le forme di coordinamento e di collaborazione in relazione alle attività di archeologia preventiva, nonché regolamentare le forme di documentazione e divulgazione dei risultati delle indagini</w:t>
      </w:r>
      <w:r>
        <w:rPr>
          <w:rFonts w:cs="Open Sans Light" w:ascii="Open Sans Light" w:hAnsi="Open Sans Light"/>
          <w:sz w:val="20"/>
          <w:lang w:val="it-IT"/>
        </w:rPr>
        <w:t xml:space="preserve">; </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il D.Lgs. 50/2016 “Codice dei Contratti Pubblici” all’art. 151 comma 3 prevede che per assicurare la fruizione del patrimonio culturale della nazione e favorire altresì la ricerca scientifica applicata alla tutela, lo Stato, le regioni e gli enti territoriali possono, con le risorse umane, finanziarie e  strumentali disponibili a legislazione vigente, attivare forme speciali di partenariato con enti e organismi pubblici e con soggetti privati, dirette a consentire il recupero, il restauro, la manutenzione programmata, la gestione, l'apertura alla pubblica fruizione e la valorizzazione di beni culturali immobili, attraverso procedure semplificate di individuazione del partner privato analoghe o ulteriori rispetto a quelle previste dal comma 1. Resta fermo quanto previsto ai sensi dell’articolo 106, comma 2-bis, del D. Lgs 42/2004 “Codice dei beni culturali e del paesaggio”;</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la SABAP per perseguire le proprie specifiche finalità di tutela, ricerca, conservazione e valorizzazione, può attivare tutte le forme di cooperazione che ritiene utili a tale scopo; è inoltre volontà della SABAP provvedere a una maggiore conoscenza, tutela e valorizzazione del patrimonio archeologico del territorio di sua competenza, attraverso la promozione di ricerche tematiche e progettuali destinate ad avviare programmi di recupero monumentale e di collegata e corretta fruizione;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in ottemperanza alla normativa di settore (art. 25 del D.Lgs. 50/2016 e D.P.C.M. del 14/02/2022 “Approvazione delle linee Guida per la procedura di verifica dell’interesse archeologico e individuazione di procedimenti semplificati) che richiede l’impiego di soggetti in possesso della necessaria qualificazione, ANAS ha nel proprio organico un gruppo di professionisti archeologi, che afferisce alla Direzione Tecnica (DT), al fine di adempiere alla tutela dei BB.CC. nell’ambito della progettazione e realizzazione delle grandi opere stradali;</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in data 20/12/2021 è stato sottoscritto tra la Prefettura UTG di Reggio Emilia e ANAS il Protocollo di Legalità per i lavori in oggetto;</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il Comune intende promuovere la diffusione della conoscenza dello specifico patrimonio storico e paesaggistico del territorio anche attraverso la valorizzazione dei siti archeologici; in particolare è interessato a sostenere lo sviluppo culturale e turistico in un’ottica di valorizzazione del territorio, ampliando e approfondendo le conoscenze archeologiche e le evidenze materiali e insediative, ricadenti nel suo territorio.</w:t>
      </w:r>
    </w:p>
    <w:p>
      <w:pPr>
        <w:pStyle w:val="Normal"/>
        <w:spacing w:lineRule="auto" w:line="360" w:before="0" w:after="120"/>
        <w:jc w:val="center"/>
        <w:rPr>
          <w:rFonts w:ascii="Open Sans Light" w:hAnsi="Open Sans Light" w:cs="Open Sans Light"/>
          <w:b/>
          <w:bCs/>
          <w:sz w:val="20"/>
          <w:lang w:val="it-IT"/>
        </w:rPr>
      </w:pPr>
      <w:r>
        <w:rPr>
          <w:rFonts w:cs="Open Sans Light" w:ascii="Open Sans Light" w:hAnsi="Open Sans Light"/>
          <w:b/>
          <w:bCs/>
          <w:sz w:val="20"/>
          <w:lang w:val="it-IT"/>
        </w:rPr>
        <w:t>CONSIDERATO CHE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l’intervento in corso di esecuzione prevede il completamento in direzione ovest della Tangenziale di Reggio Emilia che ha origine in corrispondenza dell’attuale tracciato tangenziale sulle vie XX Settembre e Martiri di Piazza Tien An Men, in località S. Prospero Strinati, e termina nella zona industriale di Corte Tegge, con l’intersezione con il tracciato storico della S.S. 9 Via Emilia. L’asse principale, collocato per la quasi totalità della sua estensione in stretta aderenza alla linea FS storica Milano-Bologna, si estende per circa 6,367 km, a cui si aggiungono oltre 8 Km di viabilità secondaria, rampe, rotatorie; sono presenti, inoltre, sottopassi, ponti e viadotti e sono previsti due svincoli che collegano la tangenziale alla viabilità locale;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in sede di Verifica di ottemperanza alle condizioni contenute nel Provvedimento ministeriale D.M. n. 102 del 27/04/2016, e a seguito di valutazione del rischio all’interno della Verifica preliminare dell’interesse archeologico, SABAP aveva verificato, con parere prot.10475 del 09.05.2019, che il progetto esecutivo avesse previsto l’esecuzione dei sondaggi ogni 100m nel tracciato a rischio basso; 50m in quello medio; e 25m in quello a rischio alto, oltre a sondaggi in coincidenza di tutti i sottopassi, carotaggi in coincidenza degli insediamenti terramaricoli di Cavazzoli e La Torretta; e uno scavo estensivo della terramara di Cavazzoli individuata nel PTCP di Reggio Emilia per il sedime interessato dall’opera e per 3m fuori da tale sedime. Il parere prevedeva altresì la stipula di un accordo con la SABAP per stabilire un piano di studio, pubblicazione e valorizzazione di quanto emerso, ai sensi dell’art. 47 c.8 del PTCP di Reggio Emilia; la creazione di un deposito </w:t>
      </w:r>
      <w:r>
        <w:rPr>
          <w:rFonts w:cs="Open Sans Light" w:ascii="Open Sans Light" w:hAnsi="Open Sans Light"/>
          <w:i/>
          <w:iCs/>
          <w:sz w:val="20"/>
          <w:lang w:val="it-IT"/>
        </w:rPr>
        <w:t>ad hoc</w:t>
      </w:r>
      <w:r>
        <w:rPr>
          <w:rFonts w:cs="Open Sans Light" w:ascii="Open Sans Light" w:hAnsi="Open Sans Light"/>
          <w:sz w:val="20"/>
          <w:lang w:val="it-IT"/>
        </w:rPr>
        <w:t xml:space="preserve"> allarmato per custodire i reperti archeologici rinvenuti; l’indicazione nel Quadro Economico di ANAS delle somme legate a queste attività e la trasmissione dello stesso alla SABAP;</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 seguito dell’avvio delle indagini preliminari, considerata la necessità di ANAS e dei gestori di sottoservizi di avviare i lavori, le zone indagate tramite sondaggi preliminari sono state svincolate, man mano che venivano sottoposte a indagini con esito negativo, o sottoposte a scavo estensivo o a controllo archeologico in corso d’opera, in caso di esito positivo delle indagini preliminari;</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la campagna di carotaggi eseguita dal professionista incaricato per le indagini preventive archeologiche nell’area di Cavazzoli ha consentito di individuare la profondità ed estensione della terramara nella parte su cui interferivano le pile del progetto del viadotto sul Crostolo;</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sulla base degli esiti delle predette indagini e della elevata profondità del sito protostorico sulla sponda orientale del Crostolo, è stato concordato di delimitare l’area d’indagine dello scavo estensivo alla sponda occidentale, seppure i carotaggi in alcun punto avessero rinvenuto zone completamente prive di materiale;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lo scavo estensivo della terramara di Cavazzoli è iniziato non appena messa in sicurezza l’area, a luglio 2024, ed è tutt’ora in corso;</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i controlli in corso d’opera lungo il tracciato della Tangenziale nord sono stati completati eccetto parti residuali nei sottopassi ST05 ed ST06 e nel viadotto V01;</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ad oggi i siti principali individuati tramite tali indagini risultano essere: una necropoli ed un pozzo di epoca romana lungo un tracciato stradale antico in zona Roncocesi; un ampio insediamento di epoca etrusca presso l’area della trincea archeologica 48; un pozzo romano nel sottopasso ST05; una fornace rinascimentale presso Cavazzoli; una terramara in zona Torretta; un canale di età del Ferro nel sottovia ST 06; la terramara di Cavazzoli; ed altre evidenze di entità minore;</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la stipula di un Accordo di collaborazione fra le Parti</w:t>
      </w:r>
      <w:r>
        <w:rPr>
          <w:rFonts w:cs="Open Sans Light" w:ascii="Open Sans Light" w:hAnsi="Open Sans Light"/>
          <w:i/>
          <w:iCs/>
          <w:sz w:val="20"/>
          <w:lang w:val="it-IT"/>
        </w:rPr>
        <w:t xml:space="preserve"> </w:t>
      </w:r>
      <w:r>
        <w:rPr>
          <w:rFonts w:cs="Open Sans Light" w:ascii="Open Sans Light" w:hAnsi="Open Sans Light"/>
          <w:sz w:val="20"/>
          <w:lang w:val="it-IT"/>
        </w:rPr>
        <w:t>permette di attivare sinergie efficaci e consente di garantire la tutela e la conoscenza del patrimonio archeologico;</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è interesse comune delle Parti definire e mettere in atto forme integrate di collaborazione per la valorizzazione del patrimonio storico-archeologico, nel pieno rispetto della reciproca autonomia giuridica, gestionale e statutaria;</w:t>
      </w:r>
    </w:p>
    <w:p>
      <w:pPr>
        <w:pStyle w:val="ListParagraph"/>
        <w:numPr>
          <w:ilvl w:val="0"/>
          <w:numId w:val="1"/>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ANAS nello svolgimento delle proprie attività istituzionali di progettazione e realizzazione di strade ad interesse nazionale, nel corso degli anni, ha riportato alla luce uno straordinario patrimonio storico-archeologico che può rappresentare una opportunità per la promozione culturale e turistica dei territori interessati;</w:t>
      </w:r>
    </w:p>
    <w:p>
      <w:pPr>
        <w:pStyle w:val="ListParagraph"/>
        <w:numPr>
          <w:ilvl w:val="0"/>
          <w:numId w:val="1"/>
        </w:numPr>
        <w:spacing w:lineRule="auto" w:line="360" w:before="0" w:after="240"/>
        <w:ind w:hanging="284" w:left="284"/>
        <w:contextualSpacing w:val="false"/>
        <w:jc w:val="both"/>
        <w:rPr>
          <w:rFonts w:ascii="Open Sans Light" w:hAnsi="Open Sans Light" w:cs="Open Sans Light"/>
          <w:sz w:val="20"/>
          <w:lang w:val="it-IT"/>
        </w:rPr>
      </w:pPr>
      <w:r>
        <w:rPr>
          <w:rFonts w:cs="Open Sans Light" w:ascii="Open Sans Light" w:hAnsi="Open Sans Light"/>
          <w:sz w:val="20"/>
          <w:lang w:val="it-IT"/>
        </w:rPr>
        <w:t>il Comune, nell’ottica della conoscenza, promozione e valorizzazione dell’importante patrimonio archeologico ricadente nel suo territorio, intende offrire per quanto di sua competenza supporto alle attività sottese alla ricerca tramite la cura di aspetti amministrativi e logistici nonché l’organizzazione di eventi di divulgazione dei risultati.</w:t>
      </w:r>
    </w:p>
    <w:p>
      <w:pPr>
        <w:pStyle w:val="Normal"/>
        <w:spacing w:lineRule="auto" w:line="360" w:before="0" w:after="120"/>
        <w:jc w:val="center"/>
        <w:rPr>
          <w:rFonts w:ascii="Open Sans Light" w:hAnsi="Open Sans Light" w:cs="Open Sans Light"/>
          <w:b/>
          <w:bCs/>
          <w:sz w:val="20"/>
          <w:lang w:val="it-IT"/>
        </w:rPr>
      </w:pPr>
      <w:r>
        <w:rPr>
          <w:rFonts w:cs="Open Sans Light" w:ascii="Open Sans Light" w:hAnsi="Open Sans Light"/>
          <w:b/>
          <w:bCs/>
          <w:sz w:val="20"/>
          <w:lang w:val="it-IT"/>
        </w:rPr>
        <w:t>TUTTO CIÒ VISTO E CONSIDERATO SI CONVIENE E SI STIPULA QUANTO SEGUE:</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Premessa</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 xml:space="preserve">Le premesse e gli allegati formano parte integrante e sostanziale del presente atto e sono vincolanti tra le Parti. </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Finalità ed Oggetto dell’Accordo</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Il presente Accordo intende attivare una collaborazione fra le Parti finalizzata allo sviluppo di progetti congiunti di ricerca, documentazione, studio e valorizzazione del patrimonio archeologico e storico-artistico di competenza della SABAP presente nell’area di intervento del progetto “</w:t>
      </w:r>
      <w:r>
        <w:rPr>
          <w:rFonts w:cs="Open Sans Light" w:ascii="Open Sans Light" w:hAnsi="Open Sans Light"/>
          <w:i/>
          <w:iCs/>
          <w:sz w:val="20"/>
          <w:lang w:val="it-IT"/>
        </w:rPr>
        <w:t>Prolungamento della S.S.9 - Tangenziale nord di Reggio Emilia nel tratto da S. Prospero Strinati a Corte Tegge (1° e 2° Stralcio)”.</w:t>
      </w:r>
      <w:r>
        <w:rPr>
          <w:rFonts w:cs="Open Sans Light" w:ascii="Open Sans Light" w:hAnsi="Open Sans Light"/>
          <w:sz w:val="20"/>
          <w:lang w:val="it-IT"/>
        </w:rPr>
        <w:t xml:space="preserve"> </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Responsabilità, coordinamento scientifico ed operativo e Soggetti Autorizzati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xml:space="preserve">La Direzione Scientifica degli scavi archeologici legati ai lavori di realizzazione della Tangenziale Nord di Reggio Emilia è assunta dalla funzionaria archeologa dott.sa Annalisa Capurso già individuata da SABAP. </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La Consulenza Scientifica degli scavi archeologici legati ai lavori di realizzazione della Tangenziale Nord di Reggio Emilia è assunta dalla funzionaria archeologa dott.sa Monica Miari già individuata da SABAP.</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Per la SABAP il ruolo di responsabile tecnico dell’Accordo è assunto dalla funzionaria archeologa competente di zona, in sinergia con la Direzione Scientifica della SABAP.</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Per ANAS il ruolo di responsabile scientifico è assunto dal Responsabile dell’area Archeologia della Direzione Tecnica, in sinergia, con il Direttore dei Lavori (di seguito DL) ed il Responsabile Unico del Procedimento (di seguito RUP) dell’intervento (i cui nominativi sono riportati nell’All. 1 della presente convenzione e che, in caso di modifica, verranno tempestivamente comunicati alle altre Parti)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xml:space="preserve">Per il Comune il ruolo di referente scientifico è assunto dalla dott.ssa Giada Pellegrini  responsabile delle collezioni archeologiche dei Musei Civici comunali </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xml:space="preserve">Le attività, comprese quelle di scavo archeologico, saranno affidate a soggetti autorizzati dalla SABAP ed incaricati da ANAS (Soggetti Autorizzati). </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I Soggetti Autorizzati ed incaricati da ANAS, dovranno essere preventivamente approvati dalla SABAP nelle diverse fasi di lavorazione e opereranno sotto la Direzione Scientifica di essa, in sinergia con quanto di competenza all’operatività del cantiere diretto da ANAS.</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Le attività oggetto del presente Accordo saranno sostenute da ANAS e dal Comune, che si coordineranno sia nell’ambito operativo di cantiere e logistica, sia per lo studio dei reperti da effettuarsi coinvolgendo anche specialisti di altre istituzioni. Saranno, inoltre, concordate, sotto la Direzione Scientifica della SABAP, le modalità di divulgazione dei risultati scientifici mediante pubblicazioni, convegni e conferenze, mostre, nonché su diverse piattaforme siti web. Nel rispetto del presente Accordo è fatto obbligo a ogni ente di menzionare negli atti e documentazione sopra descritta l’apporto degli altri enti cofirmatari.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La SABAP si riserva la facoltà di programmare e indirizzare gli interventi e le modalità operative in relazione alle esigenze di tutela, in sinergia con ANAS, la quale coordinerà e organizzerà le operazioni di cantiere conformemente alle norme di sicurezza vigenti e nel rispetto del cronoprogramma dell’intervento.</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Personale interno ed esterno</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Per l'esecuzione di quanto previsto nel presente Accordo la SABAP ed ANAS potranno avvalersi a propria discrezione, e sotto la propria responsabilità, di personale specializzato nell’ambito archeologico e di restauro o di altre discipline, di ricercatori e studenti di ogni indirizzo e livello del percorso formativo, nei modi previsti dalla legislazione vigente al momento dello svolgimento delle attività oggetto del presene Accordo. Questi, al momento dell’operatività, rientreranno tra i Soggetti Autorizzati.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Per ogni aspetto operativo i gruppi di lavoro dovranno attenersi alle disposizioni scientifiche fornite dalla SABAP e concordate con ANAS in merito a tempi, modalità e garanzie di sicurezza per operatori ed esterni che frequentano le aree e i depositi archeologici, questi ultimi anche in accordo con il Comune.</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Attrezzature e sede di svolgimento delle attività</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Le Parti metteranno a disposizione, nei limiti delle proprie disponibilità, le sedi e le attrezzature necessarie all'espletamento delle attività previste dal presente Accordo.</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Compiti e Obblighi della SABAP</w:t>
      </w:r>
    </w:p>
    <w:p>
      <w:pPr>
        <w:pStyle w:val="Normal"/>
        <w:spacing w:lineRule="auto" w:line="360" w:before="0" w:after="120"/>
        <w:rPr>
          <w:rFonts w:ascii="Open Sans Light" w:hAnsi="Open Sans Light" w:cs="Open Sans Light"/>
          <w:sz w:val="20"/>
          <w:lang w:val="it-IT"/>
        </w:rPr>
      </w:pPr>
      <w:r>
        <w:rPr>
          <w:rFonts w:cs="Open Sans Light" w:ascii="Open Sans Light" w:hAnsi="Open Sans Light"/>
          <w:sz w:val="20"/>
          <w:lang w:val="it-IT"/>
        </w:rPr>
        <w:t>Con la sottoscrizione del presente Accordo, la SABAP si impegna a:</w:t>
      </w:r>
    </w:p>
    <w:p>
      <w:pPr>
        <w:pStyle w:val="ListParagraph"/>
        <w:numPr>
          <w:ilvl w:val="0"/>
          <w:numId w:val="4"/>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coordinare le attività di ricerca e documentazione dei Soggetti Autorizzati (di cui Artt. 3 e 4) impegnati nei progetti a complemento del presente Accordo;</w:t>
      </w:r>
    </w:p>
    <w:p>
      <w:pPr>
        <w:pStyle w:val="ListParagraph"/>
        <w:numPr>
          <w:ilvl w:val="0"/>
          <w:numId w:val="4"/>
        </w:numPr>
        <w:shd w:val="clear" w:color="auto" w:fill="FFFFFF" w:themeFill="background1"/>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mettere a disposizione delle Parti la documentazione relativa all’area di indagine ed eventuale materiale utile per i confronti, se pertinente al progetto, per tutto il tempo necessario allo svolgimento delle ricerche e degli studi, sino alla pubblicazione delle risultanze delle ricerche;</w:t>
      </w:r>
    </w:p>
    <w:p>
      <w:pPr>
        <w:pStyle w:val="ListParagraph"/>
        <w:numPr>
          <w:ilvl w:val="0"/>
          <w:numId w:val="4"/>
        </w:numPr>
        <w:shd w:val="clear" w:color="auto" w:fill="FFFFFF" w:themeFill="background1"/>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favorire, durante lo svolgimento dei lavori, l’iter procedurale, in accordo con le tempistiche di cantiere, al fine di consentire la speditezza delle lavorazioni sempre garantendo la tutela dei BB.CC.;</w:t>
      </w:r>
    </w:p>
    <w:p>
      <w:pPr>
        <w:pStyle w:val="ListParagraph"/>
        <w:numPr>
          <w:ilvl w:val="0"/>
          <w:numId w:val="4"/>
        </w:numPr>
        <w:shd w:val="clear" w:color="auto" w:fill="FFFFFF" w:themeFill="background1"/>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fornire tutte le indicazioni tecniche necessarie ad ANAS per il trasferimento dei reperti nelle strutture messe a disposizione dal Comune e al Comune per l’idonea conservazione degli stessi.</w:t>
      </w:r>
    </w:p>
    <w:p>
      <w:pPr>
        <w:pStyle w:val="ListParagraph"/>
        <w:shd w:val="clear" w:color="auto" w:fill="FFFFFF" w:themeFill="background1"/>
        <w:spacing w:lineRule="auto" w:line="360" w:before="0" w:after="120"/>
        <w:ind w:left="284"/>
        <w:contextualSpacing/>
        <w:jc w:val="both"/>
        <w:rPr>
          <w:shd w:fill="FFBF00" w:val="clear"/>
        </w:rPr>
      </w:pPr>
      <w:r>
        <w:rPr>
          <w:shd w:fill="FFBF00" w:val="clear"/>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Compiti e Obblighi di ANAS</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xml:space="preserve">Con la sottoscrizione del presente Accordo, ANAS si impegna, in ottemperanza a quanto prescritto nel parere prot.10475 del 09/05/2019 emesso da SABAP di cui alle premesse, a: </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assicurare la conduzione, sotto la Direzione Scientifica della SABAP, delle ricerche sul campo e il trattamento dei reperti secondo rigorosi metodi scientifici e protocolli vigenti e standard relativi della SABAP, ai sensi della normativa sulle Concessioni di scavo e di ricerca (art. 88-89 D.Lgs. 42/2004 “Codice dei beni culturali e del paesaggio”, e del DPCM del 14/02/2022 “Approvazione delle linee guida per la procedura di verifica dell'interesse archeologico e individuazione di procedimenti semplificati”) e secondo quanto indicato nel progetto di scavo di Cavazzoli trasmesso con nota prot. SABAP 12687 del 22/04/2024 e nella successiva nota della SABAP prot. SABAP 13531 del 29/04/2024; </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comunicare direttamente alla Direzione Scientifica della SABAP (previa condivisione dei CV) la composizione del gruppo di lavoro (nominativi e funzioni) e le eventuali variazioni che dovessero intervenire nel tempo, affinché siano approvati i diversi Soggetti Autorizzati e siano predisposte le necessarie autorizzazioni;</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garantire, in accordo con la SABAP, la protezione e la conservazione dei beni archeologici di proprietà dello Stato, in deposito temporaneo durante l’attività di scavo, mediante una programmata e condivisa attività di studio, manutenzione e restauro, e anche garantendone la sicurezza e l’accessibilità, consentendo l’attività di controllo dei referenti della </w:t>
      </w:r>
      <w:r>
        <w:rPr>
          <w:rFonts w:cs="Open Sans Light" w:ascii="Open Sans Light" w:hAnsi="Open Sans Light"/>
          <w:i/>
          <w:iCs/>
          <w:sz w:val="20"/>
          <w:lang w:val="it-IT"/>
        </w:rPr>
        <w:t>SABAP</w:t>
      </w:r>
      <w:r>
        <w:rPr>
          <w:rFonts w:cs="Open Sans Light" w:ascii="Open Sans Light" w:hAnsi="Open Sans Light"/>
          <w:sz w:val="20"/>
          <w:lang w:val="it-IT"/>
        </w:rPr>
        <w:t xml:space="preserve"> sulle condizioni di sicurezza e conservazione dei reperti;</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rendersi disponibile ad aperture del cantiere dello scavo archeologico al vasto pubblico nell’ottica dell’archeologia pubblica in date da concordare in funzione delle lavorazioni in corso di esecuzione, compatibilmente con le aree a disposizione e nel rispetto della normativa vigente in materia di sicurezza;</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rendere disponibili le somme di cui al successivo Art. 10 relativamente ai processi di valorizzazione derivante dagli scavi archeologici includendovi una mostra temporanea a cura della Direzione Scientifica; </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richiedere opportuna autorizzazione qualora i reperti debbano essere sottoposti ad analisi, indagini o interventi di conservazione, di analisi invasiva, di restauro. A questo proposito, il coinvolgimento di terzi dovrà essere preventivamente concordato tra le Parti, e autorizzato dalla SABAP, che valuteranno congiuntamente la validità scientifica dei laboratori e del progetto;</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 xml:space="preserve">trasferire il materiale rinvenuto nei depositi in uso da parte del Comune per la conservazione; </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garantire l’ingresso in cantiere ai soggetti delle Parti, i Soggetti Autorizzati ed eventuali ulteriori soggetti terzi autorizzati, secondo quanto previsto dal Protocollo di Legalità sottoscritto in data 20/12/2021 di cui alle premesse;</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consegnare alla SABAP copia dell'archivio digitale finale, ovvero il risultato delle attività realizzate a complemento del presente Accordo;</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assicurare adeguata visibilità alle attività realizzate ai sensi del presente Accordo;</w:t>
      </w:r>
    </w:p>
    <w:p>
      <w:pPr>
        <w:pStyle w:val="ListParagraph"/>
        <w:numPr>
          <w:ilvl w:val="0"/>
          <w:numId w:val="2"/>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assicurare l'edizione di una pubblicazione scientifica dei risultati ottenuti, curata scientificamente dalla SABAP, e la sua diffusione su canali informatici come riportato nell’Art. 9 del presente Accordo;</w:t>
      </w:r>
    </w:p>
    <w:p>
      <w:pPr>
        <w:pStyle w:val="ListParagraph"/>
        <w:numPr>
          <w:ilvl w:val="0"/>
          <w:numId w:val="2"/>
        </w:numPr>
        <w:spacing w:lineRule="auto" w:line="360" w:before="0" w:after="0"/>
        <w:ind w:hanging="284" w:left="284"/>
        <w:contextualSpacing w:val="false"/>
        <w:jc w:val="both"/>
        <w:rPr>
          <w:rFonts w:ascii="Open Sans Light" w:hAnsi="Open Sans Light" w:cs="Open Sans Light"/>
          <w:sz w:val="20"/>
          <w:lang w:val="it-IT"/>
        </w:rPr>
      </w:pPr>
      <w:r>
        <w:rPr>
          <w:rFonts w:cs="Open Sans Light" w:ascii="Open Sans Light" w:hAnsi="Open Sans Light"/>
          <w:sz w:val="20"/>
          <w:lang w:val="it-IT"/>
        </w:rPr>
        <w:t>gli oneri riguardo alle attività di scavo archeologico, restauro, precatalogazione, inventariazione, pubblicazione e valorizzazione sono a carico della stazione appaltante per la quale si rimanda all’art. 10 del presente Accordo. È inoltre a carico della stazione appaltante la scaffalatura e l’acquisto di cassette idonee, secondo le normative vigenti e le indicazioni fornite dal sito di deposito, per la conservazione dei reperti mobili all’interno dei magazzini comunali.</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 xml:space="preserve">Una volta che il materiale rinvenuto è stato trasferito presso il deposito messo a disposizione del Comune, ANAS si intende esonerata da qualsiasi attività di manutenzione e conservazione dello stesso. </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Compiti e Obblighi del Comune</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Con la sottoscrizione del presente Accordo, il Comune si impegna a:</w:t>
      </w:r>
    </w:p>
    <w:p>
      <w:pPr>
        <w:pStyle w:val="ListParagraph"/>
        <w:numPr>
          <w:ilvl w:val="0"/>
          <w:numId w:val="3"/>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mettere a disposizione uno spazio con caratteristiche idonee per la conservazione dei reperti, secondo le indicazioni fornite da SABAP e in sinergia con Anas.</w:t>
      </w:r>
    </w:p>
    <w:p>
      <w:pPr>
        <w:pStyle w:val="ListParagraph"/>
        <w:numPr>
          <w:ilvl w:val="0"/>
          <w:numId w:val="3"/>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contribuire allo svolgimento e realizzazione delle attività oggetto dell’Accordo, garantendo gli aspetti tecnico-logistici, amministrativi e di sicurezza;</w:t>
      </w:r>
    </w:p>
    <w:p>
      <w:pPr>
        <w:pStyle w:val="ListParagraph"/>
        <w:numPr>
          <w:ilvl w:val="0"/>
          <w:numId w:val="3"/>
        </w:numPr>
        <w:shd w:val="clear" w:color="auto" w:fill="FFFFFF" w:themeFill="background1"/>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collaborare alla protezione e la conservazione dei beni archeologici di proprietà dello Stato in deposito temporaneo durante l’attività di ricerca, in particolare garantendo la sicurezza e l’accessibilità agli immobili di sua proprietà o in sua disponibilità al personale incaricato, consentendo l’attività di controllo dei referenti della SABAP sulle condizioni di sicurezza e conservazione dei reperti;</w:t>
      </w:r>
    </w:p>
    <w:p>
      <w:pPr>
        <w:pStyle w:val="ListParagraph"/>
        <w:numPr>
          <w:ilvl w:val="0"/>
          <w:numId w:val="3"/>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assicurare adeguata visibilità alle attività realizzate ai sensi del presente Accordo, anche attraverso la creazione e implementazione di appositi siti web e tramite l’utilizzo dei social media, previa condivisione dei contenuti con tutte le Parti;</w:t>
      </w:r>
    </w:p>
    <w:p>
      <w:pPr>
        <w:pStyle w:val="ListParagraph"/>
        <w:numPr>
          <w:ilvl w:val="0"/>
          <w:numId w:val="3"/>
        </w:numPr>
        <w:spacing w:lineRule="auto" w:line="360" w:before="0" w:after="120"/>
        <w:ind w:hanging="284" w:left="284"/>
        <w:contextualSpacing/>
        <w:jc w:val="both"/>
        <w:rPr>
          <w:rFonts w:ascii="Open Sans Light" w:hAnsi="Open Sans Light" w:cs="Open Sans Light"/>
          <w:sz w:val="20"/>
          <w:lang w:val="it-IT"/>
        </w:rPr>
      </w:pPr>
      <w:r>
        <w:rPr>
          <w:rFonts w:cs="Open Sans Light" w:ascii="Open Sans Light" w:hAnsi="Open Sans Light"/>
          <w:sz w:val="20"/>
          <w:lang w:val="it-IT"/>
        </w:rPr>
        <w:t>promuovere le iniziative e rendere partecipe la popolazione del proprio territorio, con Particolare riferimento a quella scolastica;</w:t>
      </w:r>
    </w:p>
    <w:p>
      <w:pPr>
        <w:pStyle w:val="ListParagraph"/>
        <w:numPr>
          <w:ilvl w:val="0"/>
          <w:numId w:val="3"/>
        </w:numPr>
        <w:spacing w:lineRule="auto" w:line="360" w:before="0" w:after="240"/>
        <w:ind w:hanging="284" w:left="284"/>
        <w:contextualSpacing w:val="false"/>
        <w:jc w:val="both"/>
        <w:rPr>
          <w:rFonts w:ascii="Open Sans Light" w:hAnsi="Open Sans Light" w:cs="Open Sans Light"/>
          <w:sz w:val="20"/>
          <w:lang w:val="it-IT"/>
        </w:rPr>
      </w:pPr>
      <w:r>
        <w:rPr>
          <w:rFonts w:cs="Open Sans Light" w:ascii="Open Sans Light" w:hAnsi="Open Sans Light"/>
          <w:sz w:val="20"/>
          <w:lang w:val="it-IT"/>
        </w:rPr>
        <w:t>collaborare in sinergia con le altre Parti per le modalità di spostamento e collocazione dei reperti all’interno degli immobili di propria competenza.</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Pubblicazione e diffusione dei risultati</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 xml:space="preserve">Le attività di ricerca e di documentazione svolte sotto la Direzione Scientifica della SABAP avranno l'obiettivo di proporre iniziative culturali, comprese pubblicazioni, da concordare preventivamente tra le Parti, sempre volte alla promozione del territorio in oggetto a livello locale, nazionale e internazionale. </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 xml:space="preserve">Le Parti, nel rispetto delle proprie competenze, si impegnano reciprocamente a riconoscersi come ente collaboratore e a segnalare tale collaborazione in tutte le occasioni pubbliche in cui sarà opportuno e che dovranno essere preliminarmente concordate nella forma e nelle modalità, dando conto della collaborazione che ha portato al raggiungimento di tali risultati. </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Tale condivisione si estende anche a tutte le attività di organizzazione di eventi e manifestazioni ad essi collegati. In Particolare, nelle attività di valorizzazione e di comunicazione di qualsiasi genere e livello (per es. conferenze, seminari, riunioni, divulgazione sui propri siti web e social, interviste, ecc.) svolte nell’ambito del presente Accordo, la parte che pubblica o divulga è obbligata a darne comunicazione alle altre Parti e, al contempo, a citare le altre, evidenziando tale collaborazione tramite indicazione della responsabilità scientifica e/o l’apposizione del logo con la dicitura “in collaborazione con”. L’utilizzo dei loghi delle Parti avverrà in ogni caso dietro espressa autorizzazione.</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 xml:space="preserve">Le Parti si impegnano reciprocamente alla più rigorosa riservatezza circa tutte le informazioni, i dati e i documenti di cui dovessero venire a conoscenza e/o in possesso in relazione allo sviluppo delle attività di cui al presente Accordo, secondo quanto previsto dalla normativa vigente. </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Risorse finanziarie</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t>Le spese relative alle lavorazioni, agli studi, alle pubblicazioni ed ai processi di valorizzazione derivanti dallo scavo archeologico, di cui all’art. 7, saranno a carico di ANAS e rientranti nel Quadro economico Cod. SIL BOUP00076 voce di spesa di quadro economico L7 per il quale sono stati stanziati € 250.000,00 come comunicato alla SAPAB con nota prot. CDG-0254175-P del 07/05/2019</w:t>
      </w:r>
      <w:r>
        <w:rPr>
          <w:rFonts w:cs="Open Sans Light" w:ascii="Open Sans Light" w:hAnsi="Open Sans Light"/>
          <w:i/>
          <w:iCs/>
          <w:sz w:val="20"/>
          <w:lang w:val="it-IT"/>
        </w:rPr>
        <w:t xml:space="preserve">. </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La presenza e/o la possibilità di ricevere fondi alternativi, nonché la loro gestione, dovrà essere valutata e concordata tra le Parti.</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Formalità e procedure amministrative</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Tutto quanto non espressamente previsto e contenuto nel presente</w:t>
      </w:r>
      <w:r>
        <w:rPr>
          <w:rFonts w:cs="Open Sans Light" w:ascii="Open Sans Light" w:hAnsi="Open Sans Light"/>
          <w:i/>
          <w:iCs/>
          <w:sz w:val="20"/>
          <w:lang w:val="it-IT"/>
        </w:rPr>
        <w:t xml:space="preserve"> </w:t>
      </w:r>
      <w:r>
        <w:rPr>
          <w:rFonts w:cs="Open Sans Light" w:ascii="Open Sans Light" w:hAnsi="Open Sans Light"/>
          <w:sz w:val="20"/>
          <w:lang w:val="it-IT"/>
        </w:rPr>
        <w:t>Accordo, con particolare riferimento alle procedure organizzative e alle modalità operative da seguire nelle attività di censimento, inventariazione, documentazione, indagini archeologiche dovrà essere concordato preventivamente in forma scritta tra le Parti e, ove necessario, sottoposto ad approvazione da parte della SABAP.</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Modifiche all'Atto</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Qualsiasi modifica al presente Accordo dovrà essere concordata necessariamente in forma scritta, ed essere controfirmata da persone munite di adeguati poteri di rappresentanza delle Parti.</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Durata</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Il presente Accordo decorre dalla data di sottoscrizione di tutte le Parti e sino al completamento delle attività da esso previste ed al collaudo dell’opera, al termine dei quali potrà essere rinnovato anche con eventuali modifiche intervenute a seguito dei risultati raggiunti.</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Estensibilità del Protocollo d'Intesa</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Il presente Accordo potrà essere esteso, di comune intesa fra le Parti, ad altri enti e soggetti, mediante lettera di adesione, sottoscritta dalle Parti, che farà parte integrante del presente atto.</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 xml:space="preserve">Risoluzione di diritto </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La violazione degli obblighi di cui agli artt. 6, 7 e 8 configura un’ipotesi di risoluzione ai sensi e per gli effetti di cui all’art. 1456 del Codice civile. La risoluzione si verifica di diritto nel momento in cui la Parte non inadempiente dichiari all’altra Parte, a mezzo lettera raccomandata A/R o posta elettronica certificata al domicilio eletto dell’altra Parte, che intende valersi della clausola risolutiva.</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Controversie</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Le Parti si adopereranno per la definizione in via amichevole di ogni controversia che dovesse insorgere in relazione alla validità ed efficacia, interpretazione ed esecuzione del presente Accordo.</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Le eventuali controversie insorte in relazione alla validità ed efficacia, interpretazione ed esecuzione del presente Accordo e/o dei relativi Addenda per le quali non sia risultato possibile addivenire ad una composizione amichevole, sono devolute al Foro di Bologna.</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Trattamento dei dati personali</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Le Parti si impegnano a trattare i dati personali acquisiti nell’ambito e per le finalità connesse alla stipula e all’esecuzione del presente Accordo, nel rispetto dei principi di correttezza, liceità e trasparenza previsti dalla normativa vigente in materia di protezione dei dati personali (Regolamento UE 2016/679 e dal D.Lgs. n. 196/2003 e s.m.i).</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In particolare, le Parti si impegnano a trattare i dati personali nel rispetto del principio di minimizzazione, nonché a garantirne l’integrità e la riservatezza.</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 xml:space="preserve">È fermo l’obbligo di ciascuna delle Parti, in qualità di Titolari autonomi del trattamento, di fornire l’informativa sul trattamento dei dati personali alle persone fisiche della propria organizzazione e a quelle dell’altra Parte i cui dati siano trattati per le finalità di cui al primo paragrafo del presente articolo e garantire l’esercizio dei diritti degli interessati. </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L’obbligo di informativa di cui al terzo comma viene assolto da Anas mediante pubblicazione nella sezione privacy del sito istituzionale www.stradeanas.it, da SABAP mediante [</w:t>
      </w:r>
      <w:r>
        <w:rPr>
          <w:rFonts w:cs="Open Sans Light" w:ascii="Open Sans Light" w:hAnsi="Open Sans Light"/>
          <w:i/>
          <w:iCs/>
          <w:kern w:val="0"/>
          <w:sz w:val="20"/>
        </w:rPr>
        <w:t>inserire la modalità di somministrazione dell’informativa agli interessati</w:t>
      </w:r>
      <w:r>
        <w:rPr>
          <w:rFonts w:cs="Open Sans Light" w:ascii="Open Sans Light" w:hAnsi="Open Sans Light"/>
          <w:kern w:val="0"/>
          <w:sz w:val="20"/>
        </w:rPr>
        <w:t>] e dal Comune mediante [</w:t>
      </w:r>
      <w:r>
        <w:rPr>
          <w:rFonts w:cs="Open Sans Light" w:ascii="Open Sans Light" w:hAnsi="Open Sans Light"/>
          <w:i/>
          <w:iCs/>
          <w:kern w:val="0"/>
          <w:sz w:val="20"/>
        </w:rPr>
        <w:t>inserire la modalità di somministrazione dell’informativa agli interessati</w:t>
      </w:r>
      <w:r>
        <w:rPr>
          <w:rFonts w:cs="Open Sans Light" w:ascii="Open Sans Light" w:hAnsi="Open Sans Light"/>
          <w:kern w:val="0"/>
          <w:sz w:val="20"/>
        </w:rPr>
        <w:t>].</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Ciascuna Parte risponde delle contestazioni, azioni o pretese avanzate da parte degli interessati e/o di qualsiasi altro soggetto e/o Autorità in merito alla inosservanza alla normativa vigente in materia di protezione dei dati personali (Regolamento UE 2016/679 e dal D.Lgs. 196/2003 e s.m.i), ad essa ascrivibili.</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L’esecuzione del presente Accordo comporta il trattamento di dati personali in maniera autonoma da parte di Anas, di SABAP e del Comune che si configurano pertanto come Titolari autonomi dei trattamenti effettuati, ai sensi dell’articolo 4 del Regolamento UE 2016/679 sia nei confronti dell’altro Titolare che nei confronti dei soggetti cui i dati personali trattati sono riferiti.</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Le Parti si danno reciprocamente atto di conoscere ed applicare, nell’ambito delle proprie organizzazioni, la normativa vigente in materia di protezione dei dati personali ai fini della corretta gestione del trattamento.</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t>In particolare, le Parti si impegnano:</w:t>
      </w:r>
    </w:p>
    <w:p>
      <w:pPr>
        <w:pStyle w:val="ListParagraph"/>
        <w:widowControl/>
        <w:tabs>
          <w:tab w:val="clear" w:pos="482"/>
          <w:tab w:val="left" w:pos="284" w:leader="none"/>
        </w:tabs>
        <w:suppressAutoHyphens w:val="false"/>
        <w:spacing w:lineRule="auto" w:line="360"/>
        <w:ind w:left="284"/>
        <w:jc w:val="both"/>
        <w:rPr>
          <w:rFonts w:ascii="Open Sans Light" w:hAnsi="Open Sans Light" w:cs="Open Sans Light"/>
          <w:kern w:val="0"/>
          <w:sz w:val="20"/>
        </w:rPr>
      </w:pPr>
      <w:r>
        <w:rPr>
          <w:rFonts w:cs="Open Sans Light" w:ascii="Open Sans Light" w:hAnsi="Open Sans Light"/>
          <w:kern w:val="0"/>
          <w:sz w:val="20"/>
        </w:rPr>
        <w:t>-</w:t>
        <w:tab/>
        <w:t>ad una verifica puntuale di conformità del trattamento effettuato per l’esecuzione dell’Accordo;</w:t>
      </w:r>
    </w:p>
    <w:p>
      <w:pPr>
        <w:pStyle w:val="ListParagraph"/>
        <w:widowControl/>
        <w:tabs>
          <w:tab w:val="clear" w:pos="482"/>
          <w:tab w:val="left" w:pos="284" w:leader="none"/>
        </w:tabs>
        <w:suppressAutoHyphens w:val="false"/>
        <w:spacing w:lineRule="auto" w:line="360"/>
        <w:ind w:left="284"/>
        <w:jc w:val="both"/>
        <w:rPr>
          <w:rFonts w:ascii="Open Sans Light" w:hAnsi="Open Sans Light" w:cs="Open Sans Light"/>
          <w:kern w:val="0"/>
          <w:sz w:val="20"/>
        </w:rPr>
      </w:pPr>
      <w:r>
        <w:rPr>
          <w:rFonts w:cs="Open Sans Light" w:ascii="Open Sans Light" w:hAnsi="Open Sans Light"/>
          <w:kern w:val="0"/>
          <w:sz w:val="20"/>
        </w:rPr>
        <w:t>-</w:t>
        <w:tab/>
        <w:t>alla disciplina vigente in materia di protezione dei dati personali;</w:t>
      </w:r>
    </w:p>
    <w:p>
      <w:pPr>
        <w:pStyle w:val="ListParagraph"/>
        <w:widowControl/>
        <w:tabs>
          <w:tab w:val="clear" w:pos="482"/>
          <w:tab w:val="left" w:pos="284" w:leader="none"/>
        </w:tabs>
        <w:suppressAutoHyphens w:val="false"/>
        <w:spacing w:lineRule="auto" w:line="360"/>
        <w:ind w:left="284"/>
        <w:jc w:val="both"/>
        <w:rPr>
          <w:rFonts w:ascii="Open Sans Light" w:hAnsi="Open Sans Light" w:cs="Open Sans Light"/>
          <w:kern w:val="0"/>
          <w:sz w:val="20"/>
        </w:rPr>
      </w:pPr>
      <w:r>
        <w:rPr>
          <w:rFonts w:cs="Open Sans Light" w:ascii="Open Sans Light" w:hAnsi="Open Sans Light"/>
          <w:kern w:val="0"/>
          <w:sz w:val="20"/>
        </w:rPr>
        <w:t>-</w:t>
        <w:tab/>
        <w:t>alla cooperazione reciproca nel caso in cui una di esse risulti destinataria di istanze per l’eercizio dei diritti degli interessati previsti dall’articolo 12 e ss. del Regolamento Ue 2016/679 ovvero di richieste delle Autorità di Controllo che riguardino ambiti di trattamento di competenza dell’altra parte;</w:t>
      </w:r>
    </w:p>
    <w:p>
      <w:pPr>
        <w:pStyle w:val="ListParagraph"/>
        <w:widowControl/>
        <w:tabs>
          <w:tab w:val="clear" w:pos="482"/>
          <w:tab w:val="left" w:pos="284" w:leader="none"/>
        </w:tabs>
        <w:suppressAutoHyphens w:val="false"/>
        <w:spacing w:lineRule="auto" w:line="360"/>
        <w:ind w:left="284"/>
        <w:jc w:val="both"/>
        <w:rPr>
          <w:rFonts w:ascii="Open Sans Light" w:hAnsi="Open Sans Light" w:cs="Open Sans Light"/>
          <w:kern w:val="0"/>
          <w:sz w:val="20"/>
        </w:rPr>
      </w:pPr>
      <w:r>
        <w:rPr>
          <w:rFonts w:cs="Open Sans Light" w:ascii="Open Sans Light" w:hAnsi="Open Sans Light"/>
          <w:kern w:val="0"/>
          <w:sz w:val="20"/>
        </w:rPr>
        <w:t>-</w:t>
        <w:tab/>
        <w:t>ad applicare misure di sicurezza idonee e adeguate a proteggere i dati personali da esse trattati per le finalità connesse all’esecuzione del presente Accordo, contro i rischi di distruzione, perdita, anche accidentale, di accesso o modifica non autorizzata dei dati o di trattamento non consentito o non conforme alle finalità della raccolta;</w:t>
      </w:r>
    </w:p>
    <w:p>
      <w:pPr>
        <w:pStyle w:val="ListParagraph"/>
        <w:widowControl/>
        <w:tabs>
          <w:tab w:val="clear" w:pos="482"/>
          <w:tab w:val="left" w:pos="284" w:leader="none"/>
        </w:tabs>
        <w:suppressAutoHyphens w:val="false"/>
        <w:spacing w:lineRule="auto" w:line="360"/>
        <w:ind w:left="284"/>
        <w:jc w:val="both"/>
        <w:rPr>
          <w:rFonts w:ascii="Open Sans Light" w:hAnsi="Open Sans Light" w:cs="Open Sans Light"/>
          <w:kern w:val="0"/>
          <w:sz w:val="20"/>
        </w:rPr>
      </w:pPr>
      <w:r>
        <w:rPr>
          <w:rFonts w:cs="Open Sans Light" w:ascii="Open Sans Light" w:hAnsi="Open Sans Light"/>
          <w:kern w:val="0"/>
          <w:sz w:val="20"/>
        </w:rPr>
        <w:t>-</w:t>
        <w:tab/>
        <w:t>ad informarsi reciprocamente rispetto ad ogni potenziale violazione di dati personali (data breach) che possa in qualsiasi modo interessare l’altra Parte, procedendo senza ritardo alla notifica della violazione di dati personali all’Autorità di Controllo, nei casi in cui tale notifica sia dovuta dal Titolare del trattamento, ai sensi dell’articolo 33 del Regolamento UE 2016/679.</w:t>
      </w:r>
    </w:p>
    <w:p>
      <w:pPr>
        <w:pStyle w:val="Normal"/>
        <w:widowControl/>
        <w:tabs>
          <w:tab w:val="clear" w:pos="482"/>
          <w:tab w:val="left" w:pos="284" w:leader="none"/>
        </w:tabs>
        <w:suppressAutoHyphens w:val="false"/>
        <w:spacing w:lineRule="auto" w:line="360"/>
        <w:jc w:val="both"/>
        <w:rPr>
          <w:rFonts w:ascii="Open Sans Light" w:hAnsi="Open Sans Light" w:cs="Open Sans Light"/>
          <w:kern w:val="0"/>
          <w:sz w:val="20"/>
        </w:rPr>
      </w:pPr>
      <w:r>
        <w:rPr>
          <w:rFonts w:cs="Open Sans Light" w:ascii="Open Sans Light" w:hAnsi="Open Sans Light"/>
          <w:kern w:val="0"/>
          <w:sz w:val="20"/>
        </w:rPr>
      </w:r>
    </w:p>
    <w:p>
      <w:pPr>
        <w:pStyle w:val="ListParagraph"/>
        <w:numPr>
          <w:ilvl w:val="0"/>
          <w:numId w:val="6"/>
        </w:numPr>
        <w:spacing w:lineRule="auto" w:line="360" w:before="0" w:after="120"/>
        <w:ind w:hanging="720" w:left="720"/>
        <w:contextualSpacing/>
        <w:jc w:val="both"/>
        <w:rPr>
          <w:highlight w:val="none"/>
          <w:shd w:fill="auto" w:val="clear"/>
        </w:rPr>
      </w:pPr>
      <w:r>
        <w:rPr>
          <w:rFonts w:cs="Open Sans Light" w:ascii="Open Sans Light" w:hAnsi="Open Sans Light"/>
          <w:b/>
          <w:bCs/>
          <w:sz w:val="20"/>
          <w:shd w:fill="auto" w:val="clear"/>
          <w:lang w:val="it-IT"/>
        </w:rPr>
        <w:t>Clausola di Integrità</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Le Parti si danno reciprocamente atto di conoscere i rispettivi obblighi in materia di prevenzione della corruzione e di trasparenza cui sono assoggettati nell’ambito delle proprie organizzazioni.</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 xml:space="preserve">Si richiama, in particolare: </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b/>
          <w:bCs/>
          <w:kern w:val="0"/>
          <w:sz w:val="20"/>
        </w:rPr>
        <w:t>-</w:t>
        <w:tab/>
      </w:r>
      <w:r>
        <w:rPr>
          <w:rFonts w:cs="Open Sans Light" w:ascii="Open Sans Light" w:hAnsi="Open Sans Light"/>
          <w:kern w:val="0"/>
          <w:sz w:val="20"/>
        </w:rPr>
        <w:t>per ANAS, vista l’adozione del Modello volontaristico di sottoposizione agli obblighi in materia di anticorruzione e trasparenza, il Framework Anti-Corruption del Gruppo Ferrovie dello Stato Italiane, costituito dai seguenti documenti, disponibili sul sito istituzionale www.stradeanas.it, nella sezione “L’azienda”, apposita sottosezione “Governance e trasparenza – Documenti societari”: Codice Etico di Gruppo e Policy Anti-Corruption di Gruppo (quali documenti a valenza di Gruppo), Modello di Organizzazione, Gestione e Controllo ex D.lgs. 231/2001 e Modello di Gestione Anti-Corruption che, in ANAS, prende il nome di Misure Integrative di quelle adottate ai sensi del MOG 231 (quali documenti a valenza societaria);</w:t>
      </w:r>
    </w:p>
    <w:p>
      <w:pPr>
        <w:pStyle w:val="Normal"/>
        <w:spacing w:lineRule="auto" w:line="360" w:before="0" w:after="120"/>
        <w:jc w:val="both"/>
        <w:rPr>
          <w:highlight w:val="none"/>
          <w:shd w:fill="auto" w:val="clear"/>
        </w:rPr>
      </w:pPr>
      <w:r>
        <w:rPr>
          <w:rFonts w:cs="Open Sans Light" w:ascii="Open Sans Light" w:hAnsi="Open Sans Light"/>
          <w:b/>
          <w:bCs/>
          <w:kern w:val="0"/>
          <w:sz w:val="20"/>
          <w:shd w:fill="auto" w:val="clear"/>
        </w:rPr>
        <w:t>-</w:t>
        <w:tab/>
      </w:r>
      <w:r>
        <w:rPr>
          <w:rFonts w:cs="Open Sans Light" w:ascii="Open Sans Light" w:hAnsi="Open Sans Light"/>
          <w:kern w:val="0"/>
          <w:sz w:val="20"/>
          <w:shd w:fill="auto" w:val="clear"/>
        </w:rPr>
        <w:t>per SABAP….</w:t>
      </w:r>
    </w:p>
    <w:p>
      <w:pPr>
        <w:pStyle w:val="Normal"/>
        <w:spacing w:lineRule="auto" w:line="360" w:before="0" w:after="120"/>
        <w:jc w:val="both"/>
        <w:rPr/>
      </w:pPr>
      <w:r>
        <w:rPr>
          <w:rFonts w:cs="Open Sans Light" w:ascii="Open Sans Light" w:hAnsi="Open Sans Light"/>
          <w:kern w:val="0"/>
          <w:sz w:val="20"/>
          <w:shd w:fill="auto" w:val="clear"/>
        </w:rPr>
        <w:t xml:space="preserve">- </w:t>
        <w:tab/>
        <w:t xml:space="preserve">per il Comune DI Reggio Emilia: I documenti disponibili sul sito </w:t>
      </w:r>
      <w:hyperlink r:id="rId2">
        <w:r>
          <w:rPr>
            <w:rStyle w:val="Hyperlink"/>
            <w:rFonts w:cs="Open Sans Light" w:ascii="Open Sans Light" w:hAnsi="Open Sans Light"/>
            <w:kern w:val="0"/>
            <w:sz w:val="20"/>
            <w:shd w:fill="auto" w:val="clear"/>
          </w:rPr>
          <w:t>www.comune.re.it</w:t>
        </w:r>
      </w:hyperlink>
      <w:r>
        <w:rPr>
          <w:rFonts w:cs="Open Sans Light" w:ascii="Open Sans Light" w:hAnsi="Open Sans Light"/>
          <w:kern w:val="0"/>
          <w:sz w:val="20"/>
          <w:shd w:fill="auto" w:val="clear"/>
        </w:rPr>
        <w:t xml:space="preserve">  e in particolare </w:t>
      </w:r>
      <w:hyperlink r:id="rId3">
        <w:r>
          <w:rPr>
            <w:rStyle w:val="Hyperlink"/>
            <w:rFonts w:cs="Open Sans Light" w:ascii="Open Sans Light" w:hAnsi="Open Sans Light"/>
            <w:color w:val="000000"/>
            <w:kern w:val="0"/>
            <w:sz w:val="20"/>
            <w:shd w:fill="auto" w:val="clear"/>
          </w:rPr>
          <w:t>Home</w:t>
        </w:r>
      </w:hyperlink>
      <w:r>
        <w:rPr>
          <w:rFonts w:cs="Open Sans Light" w:ascii="Open Sans Light" w:hAnsi="Open Sans Light"/>
          <w:color w:val="000000"/>
          <w:kern w:val="0"/>
          <w:sz w:val="20"/>
          <w:shd w:fill="auto" w:val="clear"/>
        </w:rPr>
        <w:t>/</w:t>
      </w:r>
      <w:hyperlink r:id="rId4">
        <w:r>
          <w:rPr>
            <w:rStyle w:val="Hyperlink"/>
            <w:rFonts w:cs="Open Sans Light" w:ascii="Open Sans Light" w:hAnsi="Open Sans Light"/>
            <w:color w:val="000000"/>
            <w:kern w:val="0"/>
            <w:sz w:val="20"/>
            <w:shd w:fill="auto" w:val="clear"/>
          </w:rPr>
          <w:t>Amministrazione trasparente</w:t>
        </w:r>
      </w:hyperlink>
      <w:r>
        <w:rPr>
          <w:rFonts w:cs="Open Sans Light" w:ascii="Open Sans Light" w:hAnsi="Open Sans Light"/>
          <w:color w:val="000000"/>
          <w:kern w:val="0"/>
          <w:sz w:val="20"/>
          <w:shd w:fill="auto" w:val="clear"/>
        </w:rPr>
        <w:t>/</w:t>
      </w:r>
      <w:hyperlink r:id="rId5">
        <w:r>
          <w:rPr>
            <w:rStyle w:val="Hyperlink"/>
            <w:rFonts w:cs="Open Sans Light" w:ascii="Open Sans Light" w:hAnsi="Open Sans Light"/>
            <w:color w:val="000000"/>
            <w:kern w:val="0"/>
            <w:sz w:val="20"/>
            <w:shd w:fill="auto" w:val="clear"/>
          </w:rPr>
          <w:t>Altri contenuti</w:t>
        </w:r>
      </w:hyperlink>
      <w:r>
        <w:rPr>
          <w:rFonts w:cs="Open Sans Light" w:ascii="Open Sans Light" w:hAnsi="Open Sans Light"/>
          <w:color w:val="000000"/>
          <w:kern w:val="0"/>
          <w:sz w:val="20"/>
          <w:shd w:fill="auto" w:val="clear"/>
        </w:rPr>
        <w:t>/Prevenzione della corruzione</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 xml:space="preserve">Ciascuna Parte dichiara di aver preso visione dei documenti sopra citati, di aver ben compreso i principi, i contenuti, le finalità e le modalità di attuazione. </w:t>
      </w:r>
    </w:p>
    <w:p>
      <w:pPr>
        <w:pStyle w:val="Normal"/>
        <w:spacing w:lineRule="auto" w:line="360" w:before="0" w:after="120"/>
        <w:jc w:val="both"/>
        <w:rPr>
          <w:rFonts w:ascii="Open Sans Light" w:hAnsi="Open Sans Light" w:cs="Open Sans Light"/>
          <w:b/>
          <w:bCs/>
          <w:kern w:val="0"/>
          <w:sz w:val="20"/>
        </w:rPr>
      </w:pPr>
      <w:r>
        <w:rPr>
          <w:rFonts w:cs="Open Sans Light" w:ascii="Open Sans Light" w:hAnsi="Open Sans Light"/>
          <w:kern w:val="0"/>
          <w:sz w:val="20"/>
        </w:rPr>
        <w:t>Ciascuna Parte si impegna a rispettare nell’esecuzione della presente Convenzione i documenti  rispettivamente adottati, nonché a garantirne la loro osservanza anche da parte di eventuali terze parti. La violazione di tale obbligo configura un’ipotesi di risoluzione di diritto ai sensi e per gli effetti di cui all’art. 1456 del Codice civile</w:t>
      </w:r>
      <w:r>
        <w:rPr>
          <w:rFonts w:cs="Open Sans Light" w:ascii="Open Sans Light" w:hAnsi="Open Sans Light"/>
          <w:b/>
          <w:bCs/>
          <w:kern w:val="0"/>
          <w:sz w:val="20"/>
        </w:rPr>
        <w:t>.</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Ciascuna Parte si impegna, inoltre, a informare l’altra di qualunque fatto o circostanza potenzialmente in contrasto con i valori, principi e regole di condotta indicati nei sopra citati documenti di cui siano venute a conoscenza in ragione del rapporto contrattuale in essere. Le Parti prendono atto della possibilità di effettuare le segnalazioni tramite le piattaforme o i canali dedicati.</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 xml:space="preserve">Per ANAS, le segnalazioni rilevanti ai sensi e per gli effetti del Modello 231, del Codice Etico ed ai fini anticorruzione possono essere effettuate secondo le modalità e tramite i canali indicati all’indirizzo internet http://www.stradeanas.it, rispettivamente ai seguenti percorsi: </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b/>
          <w:bCs/>
          <w:kern w:val="0"/>
          <w:sz w:val="20"/>
        </w:rPr>
        <w:t>-</w:t>
        <w:tab/>
      </w:r>
      <w:r>
        <w:rPr>
          <w:rFonts w:cs="Open Sans Light" w:ascii="Open Sans Light" w:hAnsi="Open Sans Light"/>
          <w:kern w:val="0"/>
          <w:sz w:val="20"/>
        </w:rPr>
        <w:t>Home / Chi siamo / L'azienda / Governance e trasparenza / Sistema dei controlli / Organismo di vigilanza / Gestione delle segnalazioni - Whistleblowing 231;</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w:t>
        <w:tab/>
        <w:t>Home / L'azienda / Governance e trasparenza / Segnalazioni al Comitato Etico;</w:t>
      </w:r>
    </w:p>
    <w:p>
      <w:pPr>
        <w:pStyle w:val="Normal"/>
        <w:spacing w:lineRule="auto" w:line="360" w:before="0" w:after="120"/>
        <w:jc w:val="both"/>
        <w:rPr>
          <w:rFonts w:ascii="Open Sans Light" w:hAnsi="Open Sans Light" w:cs="Open Sans Light"/>
          <w:kern w:val="0"/>
          <w:sz w:val="20"/>
        </w:rPr>
      </w:pPr>
      <w:r>
        <w:rPr>
          <w:rFonts w:cs="Open Sans Light" w:ascii="Open Sans Light" w:hAnsi="Open Sans Light"/>
          <w:kern w:val="0"/>
          <w:sz w:val="20"/>
        </w:rPr>
        <w:t>-</w:t>
        <w:tab/>
        <w:t>Home / Società Trasparente / Whistleblowing 190.</w:t>
      </w:r>
    </w:p>
    <w:p>
      <w:pPr>
        <w:pStyle w:val="Normal"/>
        <w:spacing w:lineRule="auto" w:line="360" w:before="0" w:after="120"/>
        <w:jc w:val="both"/>
        <w:rPr>
          <w:highlight w:val="none"/>
          <w:shd w:fill="auto" w:val="clear"/>
        </w:rPr>
      </w:pPr>
      <w:r>
        <w:rPr>
          <w:rFonts w:cs="Open Sans Light" w:ascii="Open Sans Light" w:hAnsi="Open Sans Light"/>
          <w:kern w:val="0"/>
          <w:sz w:val="20"/>
          <w:shd w:fill="auto" w:val="clear"/>
        </w:rPr>
        <w:t>Per SABAP…</w:t>
      </w:r>
    </w:p>
    <w:p>
      <w:pPr>
        <w:pStyle w:val="Normal"/>
        <w:spacing w:lineRule="auto" w:line="360"/>
        <w:jc w:val="both"/>
        <w:rPr>
          <w:highlight w:val="none"/>
          <w:shd w:fill="auto" w:val="clear"/>
        </w:rPr>
      </w:pPr>
      <w:r>
        <w:rPr>
          <w:rFonts w:cs="Open Sans Light" w:ascii="Open Sans Light" w:hAnsi="Open Sans Light"/>
          <w:kern w:val="0"/>
          <w:sz w:val="20"/>
          <w:shd w:fill="auto" w:val="clear"/>
        </w:rPr>
        <w:t xml:space="preserve">Per il Comune di Reggio Emilia :, le segnalazioni rilevanti ai fini anticorruzione possono essere effettuate </w:t>
      </w:r>
      <w:r>
        <w:rPr>
          <w:rFonts w:eastAsia="PMingLiU" w:cs="Open Sans Light" w:ascii="Open Sans Light" w:hAnsi="Open Sans Light"/>
          <w:color w:val="auto"/>
          <w:kern w:val="0"/>
          <w:sz w:val="20"/>
          <w:szCs w:val="20"/>
          <w:lang w:val="en-US" w:eastAsia="zh-TW" w:bidi="ar-SA"/>
        </w:rPr>
        <w:t xml:space="preserve">secondo le modalità e tramite i canali indicati all’indirizzo internet </w:t>
      </w:r>
    </w:p>
    <w:p>
      <w:pPr>
        <w:pStyle w:val="Normal"/>
        <w:spacing w:lineRule="auto" w:line="360"/>
        <w:jc w:val="both"/>
        <w:rPr>
          <w:rFonts w:ascii="Open Sans Light" w:hAnsi="Open Sans Light" w:eastAsia="PMingLiU" w:cs="Open Sans Light"/>
          <w:color w:val="auto"/>
          <w:kern w:val="0"/>
          <w:sz w:val="20"/>
          <w:szCs w:val="20"/>
          <w:lang w:val="en-US" w:eastAsia="zh-TW" w:bidi="ar-SA"/>
        </w:rPr>
      </w:pPr>
      <w:r>
        <w:rPr>
          <w:rFonts w:eastAsia="PMingLiU" w:cs="Open Sans Light" w:ascii="Open Sans Light" w:hAnsi="Open Sans Light"/>
          <w:color w:val="auto"/>
          <w:kern w:val="0"/>
          <w:sz w:val="20"/>
          <w:szCs w:val="20"/>
          <w:lang w:val="en-US" w:eastAsia="zh-TW" w:bidi="ar-SA"/>
        </w:rPr>
        <w:t xml:space="preserve">http://www.comune.re.it, rispettivamente ai seguenti percorsi: </w:t>
      </w:r>
    </w:p>
    <w:p>
      <w:pPr>
        <w:pStyle w:val="Normal"/>
        <w:jc w:val="both"/>
        <w:rPr/>
      </w:pPr>
      <w:hyperlink r:id="rId6">
        <w:r>
          <w:rPr>
            <w:rStyle w:val="Hyperlink"/>
            <w:rFonts w:eastAsia="PMingLiU" w:cs="Open Sans Light" w:ascii="Open Sans Light" w:hAnsi="Open Sans Light"/>
            <w:color w:val="auto"/>
            <w:kern w:val="0"/>
            <w:sz w:val="20"/>
            <w:szCs w:val="20"/>
            <w:lang w:val="en-US" w:eastAsia="zh-TW" w:bidi="ar-SA"/>
          </w:rPr>
          <w:t>Home</w:t>
        </w:r>
      </w:hyperlink>
      <w:r>
        <w:rPr>
          <w:rFonts w:eastAsia="PMingLiU" w:cs="Open Sans Light" w:ascii="Open Sans Light" w:hAnsi="Open Sans Light"/>
          <w:color w:val="auto"/>
          <w:kern w:val="0"/>
          <w:sz w:val="20"/>
          <w:szCs w:val="20"/>
          <w:lang w:val="en-US" w:eastAsia="zh-TW" w:bidi="ar-SA"/>
        </w:rPr>
        <w:t>/</w:t>
      </w:r>
      <w:hyperlink r:id="rId7">
        <w:r>
          <w:rPr>
            <w:rStyle w:val="Hyperlink"/>
            <w:rFonts w:eastAsia="PMingLiU" w:cs="Open Sans Light" w:ascii="Open Sans Light" w:hAnsi="Open Sans Light"/>
            <w:color w:val="auto"/>
            <w:kern w:val="0"/>
            <w:sz w:val="20"/>
            <w:szCs w:val="20"/>
            <w:lang w:val="en-US" w:eastAsia="zh-TW" w:bidi="ar-SA"/>
          </w:rPr>
          <w:t>Amministrazione trasparente</w:t>
        </w:r>
      </w:hyperlink>
      <w:r>
        <w:rPr>
          <w:rFonts w:eastAsia="PMingLiU" w:cs="Open Sans Light" w:ascii="Open Sans Light" w:hAnsi="Open Sans Light"/>
          <w:color w:val="auto"/>
          <w:kern w:val="0"/>
          <w:sz w:val="20"/>
          <w:szCs w:val="20"/>
          <w:lang w:val="en-US" w:eastAsia="zh-TW" w:bidi="ar-SA"/>
        </w:rPr>
        <w:t>/</w:t>
      </w:r>
      <w:hyperlink r:id="rId8">
        <w:r>
          <w:rPr>
            <w:rStyle w:val="Hyperlink"/>
            <w:rFonts w:eastAsia="PMingLiU" w:cs="Open Sans Light" w:ascii="Open Sans Light" w:hAnsi="Open Sans Light"/>
            <w:color w:val="auto"/>
            <w:kern w:val="0"/>
            <w:sz w:val="20"/>
            <w:szCs w:val="20"/>
            <w:lang w:val="en-US" w:eastAsia="zh-TW" w:bidi="ar-SA"/>
          </w:rPr>
          <w:t>Altri contenuti</w:t>
        </w:r>
      </w:hyperlink>
      <w:r>
        <w:rPr>
          <w:rFonts w:eastAsia="PMingLiU" w:cs="Open Sans Light" w:ascii="Open Sans Light" w:hAnsi="Open Sans Light"/>
          <w:color w:val="auto"/>
          <w:kern w:val="0"/>
          <w:sz w:val="20"/>
          <w:szCs w:val="20"/>
          <w:lang w:val="en-US" w:eastAsia="zh-TW" w:bidi="ar-SA"/>
        </w:rPr>
        <w:t>/</w:t>
      </w:r>
      <w:hyperlink r:id="rId9">
        <w:r>
          <w:rPr>
            <w:rStyle w:val="Hyperlink"/>
            <w:rFonts w:eastAsia="PMingLiU" w:cs="Open Sans Light" w:ascii="Open Sans Light" w:hAnsi="Open Sans Light"/>
            <w:color w:val="auto"/>
            <w:kern w:val="0"/>
            <w:sz w:val="20"/>
            <w:szCs w:val="20"/>
            <w:lang w:val="en-US" w:eastAsia="zh-TW" w:bidi="ar-SA"/>
          </w:rPr>
          <w:t>Prevenzione della corruzione</w:t>
        </w:r>
      </w:hyperlink>
      <w:r>
        <w:rPr>
          <w:rFonts w:eastAsia="PMingLiU" w:cs="Open Sans Light" w:ascii="Open Sans Light" w:hAnsi="Open Sans Light"/>
          <w:color w:val="auto"/>
          <w:kern w:val="0"/>
          <w:sz w:val="20"/>
          <w:szCs w:val="20"/>
          <w:lang w:val="en-US" w:eastAsia="zh-TW" w:bidi="ar-SA"/>
        </w:rPr>
        <w:t>/Whistleblowing</w:t>
      </w:r>
    </w:p>
    <w:p>
      <w:pPr>
        <w:pStyle w:val="Normal"/>
        <w:spacing w:lineRule="auto" w:line="360"/>
        <w:jc w:val="both"/>
        <w:rPr>
          <w:rFonts w:ascii="Arial" w:hAnsi="Arial"/>
          <w:b w:val="false"/>
          <w:bCs w:val="false"/>
          <w:sz w:val="22"/>
          <w:szCs w:val="22"/>
          <w:u w:val="none"/>
        </w:rPr>
      </w:pPr>
      <w:r>
        <w:rPr>
          <w:rFonts w:ascii="Arial" w:hAnsi="Arial"/>
          <w:b w:val="false"/>
          <w:bCs w:val="false"/>
          <w:sz w:val="22"/>
          <w:szCs w:val="22"/>
          <w:u w:val="none"/>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Spese fiscali</w:t>
      </w:r>
    </w:p>
    <w:p>
      <w:pPr>
        <w:pStyle w:val="Normal"/>
        <w:spacing w:lineRule="auto" w:line="360" w:before="0" w:after="240"/>
        <w:jc w:val="both"/>
        <w:rPr>
          <w:rFonts w:ascii="Open Sans Light" w:hAnsi="Open Sans Light" w:cs="Open Sans Light"/>
          <w:sz w:val="20"/>
          <w:lang w:val="it-IT"/>
        </w:rPr>
      </w:pPr>
      <w:r>
        <w:rPr>
          <w:rFonts w:cs="Open Sans Light" w:ascii="Open Sans Light" w:hAnsi="Open Sans Light"/>
          <w:sz w:val="20"/>
          <w:lang w:val="it-IT"/>
        </w:rPr>
        <w:t>Ai sensi dell’art. 5 del Testo Unico delle disposizioni concernenti l’imposta di registro, D.p.r. 26.04.1986 n. 131, il presente Accordo sarà registrato solo in caso d'uso e, in tal caso, le spese di registrazione saranno a carico della Parte richiedente.</w:t>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Comunicazioni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Ogni comunicazione da effettuarsi ai sensi della presente Convenzione dovrà essere effettuata mediante posta elettronica certificata tra i seguenti domicili digitali:</w:t>
      </w:r>
    </w:p>
    <w:p>
      <w:pPr>
        <w:pStyle w:val="Normal"/>
        <w:spacing w:lineRule="auto" w:line="360"/>
        <w:jc w:val="both"/>
        <w:rPr/>
      </w:pPr>
      <w:r>
        <w:rPr>
          <w:rFonts w:cs="Open Sans Light" w:ascii="Open Sans Light" w:hAnsi="Open Sans Light"/>
          <w:sz w:val="20"/>
          <w:lang w:val="it-IT"/>
        </w:rPr>
        <w:t>- ANAS S.p.A.:</w:t>
      </w:r>
      <w:r>
        <w:rPr/>
        <w:t xml:space="preserve"> </w:t>
      </w:r>
    </w:p>
    <w:p>
      <w:pPr>
        <w:pStyle w:val="Normal"/>
        <w:spacing w:lineRule="auto" w:line="360"/>
        <w:jc w:val="both"/>
        <w:rPr>
          <w:rStyle w:val="Hyperlink"/>
          <w:rFonts w:ascii="Open Sans Light" w:hAnsi="Open Sans Light" w:cs="Open Sans Light"/>
          <w:sz w:val="20"/>
          <w:u w:val="none"/>
        </w:rPr>
      </w:pPr>
      <w:hyperlink r:id="rId10">
        <w:r>
          <w:rPr>
            <w:rStyle w:val="Hyperlink"/>
            <w:rFonts w:cs="Open Sans Light" w:ascii="Open Sans Light" w:hAnsi="Open Sans Light"/>
            <w:sz w:val="20"/>
            <w:u w:val="none"/>
          </w:rPr>
          <w:t>anas.emiliaromagna@postacert.stradeanas.it</w:t>
        </w:r>
      </w:hyperlink>
    </w:p>
    <w:p>
      <w:pPr>
        <w:pStyle w:val="Normal"/>
        <w:spacing w:lineRule="auto" w:line="360"/>
        <w:jc w:val="both"/>
        <w:rPr>
          <w:rStyle w:val="Hyperlink"/>
          <w:rFonts w:ascii="Open Sans Light" w:hAnsi="Open Sans Light" w:cs="Open Sans Light"/>
          <w:sz w:val="20"/>
          <w:u w:val="none"/>
        </w:rPr>
      </w:pPr>
      <w:r>
        <w:rPr>
          <w:rStyle w:val="Hyperlink"/>
          <w:rFonts w:cs="Open Sans Light" w:ascii="Open Sans Light" w:hAnsi="Open Sans Light"/>
          <w:sz w:val="20"/>
          <w:u w:val="none"/>
        </w:rPr>
        <w:t>anas@postacert.stradeanas.it</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Soprintendenza Archeologia, Belle Arti e Paesaggio per le province di Modena, Reggio Emilia e Ferrara.</w:t>
      </w:r>
    </w:p>
    <w:p>
      <w:pPr>
        <w:pStyle w:val="Normal"/>
        <w:spacing w:lineRule="auto" w:line="360"/>
        <w:jc w:val="both"/>
        <w:rPr>
          <w:rFonts w:ascii="Open Sans Light" w:hAnsi="Open Sans Light" w:cs="Open Sans Light"/>
          <w:sz w:val="20"/>
        </w:rPr>
      </w:pPr>
      <w:hyperlink r:id="rId11">
        <w:r>
          <w:rPr>
            <w:rStyle w:val="Hyperlink"/>
            <w:rFonts w:cs="Open Sans Light" w:ascii="Open Sans Light" w:hAnsi="Open Sans Light"/>
            <w:sz w:val="20"/>
            <w:u w:val="none"/>
          </w:rPr>
          <w:t>sabap-mo@pec.cultura.gov.it</w:t>
        </w:r>
      </w:hyperlink>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 xml:space="preserve">- Comune di Reggio Emilia: </w:t>
      </w:r>
    </w:p>
    <w:p>
      <w:pPr>
        <w:pStyle w:val="Normal"/>
        <w:spacing w:lineRule="auto" w:line="360"/>
        <w:jc w:val="both"/>
        <w:rPr>
          <w:rStyle w:val="Hyperlink"/>
          <w:rFonts w:ascii="Open Sans Light" w:hAnsi="Open Sans Light" w:cs="Open Sans Light"/>
          <w:sz w:val="20"/>
          <w:u w:val="none"/>
        </w:rPr>
      </w:pPr>
      <w:r>
        <w:rPr>
          <w:rStyle w:val="Hyperlink"/>
          <w:rFonts w:cs="Open Sans Light" w:ascii="Open Sans Light" w:hAnsi="Open Sans Light"/>
          <w:sz w:val="20"/>
          <w:u w:val="none"/>
        </w:rPr>
        <w:t>comune.reggioemilia@pec.municipio.re.it</w:t>
      </w:r>
    </w:p>
    <w:p>
      <w:pPr>
        <w:pStyle w:val="Normal"/>
        <w:spacing w:lineRule="auto" w:line="360"/>
        <w:jc w:val="both"/>
        <w:rPr/>
      </w:pPr>
      <w:r>
        <w:rPr>
          <w:rStyle w:val="Hyperlink"/>
          <w:rFonts w:eastAsia="PMingLiU" w:cs="Open Sans Light" w:ascii="Open Sans Light" w:hAnsi="Open Sans Light"/>
          <w:color w:val="auto"/>
          <w:kern w:val="2"/>
          <w:sz w:val="20"/>
          <w:szCs w:val="20"/>
          <w:u w:val="none"/>
          <w:lang w:val="it-IT" w:eastAsia="zh-TW" w:bidi="ar-SA"/>
        </w:rPr>
        <w:t>- Comune di Reggio Emilia – Servizio Cultura, Inercultura, Giovani e Università</w:t>
      </w:r>
    </w:p>
    <w:p>
      <w:pPr>
        <w:pStyle w:val="Normal"/>
        <w:spacing w:lineRule="auto" w:line="360"/>
        <w:jc w:val="both"/>
        <w:rPr>
          <w:rStyle w:val="Hyperlink"/>
          <w:rFonts w:ascii="Open Sans Light" w:hAnsi="Open Sans Light" w:cs="Open Sans Light"/>
          <w:sz w:val="20"/>
          <w:u w:val="none"/>
        </w:rPr>
      </w:pPr>
      <w:hyperlink r:id="rId12">
        <w:r>
          <w:rPr>
            <w:rStyle w:val="Hyperlink"/>
            <w:rFonts w:cs="Open Sans Light" w:ascii="Open Sans Light" w:hAnsi="Open Sans Light"/>
            <w:sz w:val="20"/>
            <w:u w:val="none"/>
          </w:rPr>
          <w:t>servizi.culturali@pec.municipio.re.it</w:t>
        </w:r>
      </w:hyperlink>
    </w:p>
    <w:p>
      <w:pPr>
        <w:pStyle w:val="Normal"/>
        <w:spacing w:lineRule="auto" w:line="360"/>
        <w:jc w:val="both"/>
        <w:rPr>
          <w:rFonts w:ascii="Open Sans Light" w:hAnsi="Open Sans Light" w:cs="Open Sans Light"/>
          <w:b/>
          <w:bCs/>
          <w:sz w:val="20"/>
          <w:lang w:val="it-IT"/>
        </w:rPr>
      </w:pPr>
      <w:r>
        <w:rPr>
          <w:rFonts w:cs="Open Sans Light" w:ascii="Open Sans Light" w:hAnsi="Open Sans Light"/>
          <w:b/>
          <w:bCs/>
          <w:sz w:val="20"/>
          <w:lang w:val="it-IT"/>
        </w:rPr>
      </w:r>
    </w:p>
    <w:p>
      <w:pPr>
        <w:pStyle w:val="ListParagraph"/>
        <w:numPr>
          <w:ilvl w:val="0"/>
          <w:numId w:val="6"/>
        </w:numPr>
        <w:spacing w:lineRule="auto" w:line="360" w:before="0" w:after="120"/>
        <w:ind w:hanging="720" w:left="720"/>
        <w:contextualSpacing/>
        <w:jc w:val="both"/>
        <w:rPr>
          <w:rFonts w:ascii="Open Sans Light" w:hAnsi="Open Sans Light" w:cs="Open Sans Light"/>
          <w:b/>
          <w:bCs/>
          <w:sz w:val="20"/>
          <w:lang w:val="it-IT"/>
        </w:rPr>
      </w:pPr>
      <w:r>
        <w:rPr>
          <w:rFonts w:cs="Open Sans Light" w:ascii="Open Sans Light" w:hAnsi="Open Sans Light"/>
          <w:b/>
          <w:bCs/>
          <w:sz w:val="20"/>
          <w:lang w:val="it-IT"/>
        </w:rPr>
        <w:t>Norme finali</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Le Parti concordano espressamente che l’eventuale invalidità di una qualsivoglia clausola del presente Accordo non comprometterà la validità dello stesso nella sua interezza.</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Per tutto quanto non espressamente disciplinato dal presente Accordo, si fa riferimento alla normativa comunitaria e nazionale vigente.</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t>La stipula del presente Accordo è stata autorizzata per ANAS con nota ……………………. in data……………….….….Visto l’art. 15, comma 2-bis della legge n. 241/1990, a norma del quale “a fare data dal 30 giugno 2014 gli accordi di cui al comma 1 sono sottoscritti con firma digitale, ai sensi dell'articolo 24 del decreto legislativo 7 marzo 2005, n. 82, con firma elettronica avanzata, ai sensi dell'articolo 1, comma 1, lettera q-bis), del decreto legislativo 7 marzo 2005, n. 82, ovvero con altra firma elettronica qual</w:t>
      </w:r>
      <w:r>
        <w:rPr>
          <w:rFonts w:cs="Open Sans Light" w:ascii="Open Sans Light" w:hAnsi="Open Sans Light"/>
          <w:b w:val="false"/>
          <w:bCs w:val="false"/>
          <w:sz w:val="20"/>
          <w:lang w:val="it-IT"/>
        </w:rPr>
        <w:t>ificata, pena la nullità degli stessi”, il Presente Accordo, esente bollo ai sensi dell’art. 16 del D.p.r. n.</w:t>
      </w:r>
      <w:r>
        <w:rPr>
          <w:rFonts w:cs="Open Sans Light" w:ascii="Open Sans Light" w:hAnsi="Open Sans Light"/>
          <w:sz w:val="20"/>
          <w:lang w:val="it-IT"/>
        </w:rPr>
        <w:t xml:space="preserve"> 642/72 e dell’art. 1 Tabella allegata al D.p.r. n. 131/86, viene redatta in modalità elettronica e sottoscritto dalle Parti, unitamente a quanto allegato, a mezzo firma digitale ai sensi dell’art. 15, comma 2-bis, della Legge n. 241/1990.</w:t>
      </w:r>
    </w:p>
    <w:p>
      <w:pPr>
        <w:pStyle w:val="Normal"/>
        <w:spacing w:lineRule="auto" w:line="360"/>
        <w:jc w:val="both"/>
        <w:rPr>
          <w:rFonts w:ascii="Open Sans Light" w:hAnsi="Open Sans Light" w:cs="Open Sans Light"/>
          <w:sz w:val="20"/>
          <w:lang w:val="it-IT"/>
        </w:rPr>
      </w:pPr>
      <w:r>
        <w:rPr>
          <w:rFonts w:cs="Open Sans Light" w:ascii="Open Sans Light" w:hAnsi="Open Sans Light"/>
          <w:sz w:val="20"/>
          <w:lang w:val="it-IT"/>
        </w:rPr>
      </w:r>
    </w:p>
    <w:p>
      <w:pPr>
        <w:pStyle w:val="Normal"/>
        <w:spacing w:lineRule="auto" w:line="360" w:before="0" w:after="120"/>
        <w:rPr>
          <w:rFonts w:ascii="Open Sans Light" w:hAnsi="Open Sans Light" w:cs="Open Sans Light"/>
          <w:i/>
          <w:i/>
          <w:iCs/>
          <w:sz w:val="20"/>
          <w:lang w:val="it-IT"/>
        </w:rPr>
      </w:pPr>
      <w:r>
        <w:rPr>
          <w:rFonts w:cs="Open Sans Light" w:ascii="Open Sans Light" w:hAnsi="Open Sans Light"/>
          <w:i/>
          <w:iCs/>
          <w:sz w:val="20"/>
          <w:lang w:val="it-IT"/>
        </w:rPr>
        <w:t xml:space="preserve">Allegati: </w:t>
      </w:r>
    </w:p>
    <w:p>
      <w:pPr>
        <w:pStyle w:val="ListParagraph"/>
        <w:numPr>
          <w:ilvl w:val="0"/>
          <w:numId w:val="5"/>
        </w:numPr>
        <w:spacing w:lineRule="auto" w:line="360" w:before="0" w:after="120"/>
        <w:contextualSpacing/>
        <w:rPr>
          <w:rFonts w:ascii="Open Sans Light" w:hAnsi="Open Sans Light" w:cs="Open Sans Light"/>
          <w:i/>
          <w:i/>
          <w:iCs/>
          <w:sz w:val="20"/>
          <w:lang w:val="it-IT"/>
        </w:rPr>
      </w:pPr>
      <w:r>
        <w:rPr>
          <w:rFonts w:cs="Open Sans Light" w:ascii="Open Sans Light" w:hAnsi="Open Sans Light"/>
          <w:i/>
          <w:iCs/>
          <w:sz w:val="20"/>
          <w:lang w:val="it-IT"/>
        </w:rPr>
        <w:t xml:space="preserve">All. 1 - Nominativi di cui all’art. 3 </w:t>
      </w:r>
    </w:p>
    <w:p>
      <w:pPr>
        <w:pStyle w:val="ListParagraph"/>
        <w:numPr>
          <w:ilvl w:val="0"/>
          <w:numId w:val="5"/>
        </w:numPr>
        <w:spacing w:lineRule="auto" w:line="360" w:before="0" w:after="120"/>
        <w:contextualSpacing/>
        <w:rPr>
          <w:rFonts w:ascii="Open Sans Light" w:hAnsi="Open Sans Light" w:cs="Open Sans Light"/>
          <w:i/>
          <w:i/>
          <w:iCs/>
          <w:sz w:val="20"/>
          <w:lang w:val="it-IT"/>
        </w:rPr>
      </w:pPr>
      <w:r>
        <w:rPr>
          <w:rFonts w:cs="Open Sans Light" w:ascii="Open Sans Light" w:hAnsi="Open Sans Light"/>
          <w:i/>
          <w:iCs/>
          <w:sz w:val="20"/>
          <w:lang w:val="it-IT"/>
        </w:rPr>
        <w:t>All. 2 - Planimetria di progetto della SS9 Tangenziale Nord di Reggio Emilia;</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Il Soprintendente</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Arch. Eugenia Valacchi</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___________________________</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 xml:space="preserve">Il Responsabile della Struttura Territoriale ANAS Emilia Romagna </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Ing. Massimiliano Campanella</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___________________________</w:t>
      </w:r>
    </w:p>
    <w:p>
      <w:pPr>
        <w:pStyle w:val="Normal"/>
        <w:spacing w:lineRule="auto" w:line="360" w:before="0" w:after="120"/>
        <w:jc w:val="center"/>
        <w:rPr>
          <w:rFonts w:ascii="Open Sans Light" w:hAnsi="Open Sans Light" w:cs="Open Sans Light"/>
          <w:sz w:val="20"/>
        </w:rPr>
      </w:pPr>
      <w:r>
        <w:rPr>
          <w:rFonts w:cs="Open Sans Light" w:ascii="Open Sans Light" w:hAnsi="Open Sans Light"/>
          <w:sz w:val="20"/>
          <w:lang w:val="it-IT"/>
        </w:rPr>
        <w:t xml:space="preserve">Il </w:t>
      </w:r>
      <w:r>
        <w:rPr>
          <w:rFonts w:cs="Open Sans Light" w:ascii="Open Sans Light" w:hAnsi="Open Sans Light"/>
          <w:sz w:val="20"/>
        </w:rPr>
        <w:t xml:space="preserve">Dirigente </w:t>
      </w:r>
      <w:r>
        <w:rPr>
          <w:rFonts w:cs="Open Sans Light" w:ascii="Open Sans Light" w:hAnsi="Open Sans Light"/>
          <w:i/>
          <w:iCs/>
          <w:sz w:val="20"/>
        </w:rPr>
        <w:t>ad interim</w:t>
      </w:r>
      <w:r>
        <w:rPr>
          <w:rFonts w:cs="Open Sans Light" w:ascii="Open Sans Light" w:hAnsi="Open Sans Light"/>
          <w:sz w:val="20"/>
        </w:rPr>
        <w:t xml:space="preserve"> del Servizio Cultura del Comune di Reggio Emilia</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Dott. Nando Rinalldi</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t>___________________________</w:t>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r>
    </w:p>
    <w:p>
      <w:pPr>
        <w:pStyle w:val="Normal"/>
        <w:spacing w:lineRule="auto" w:line="360" w:before="0" w:after="120"/>
        <w:jc w:val="center"/>
        <w:rPr>
          <w:rFonts w:ascii="Open Sans Light" w:hAnsi="Open Sans Light" w:cs="Open Sans Light"/>
          <w:sz w:val="20"/>
          <w:lang w:val="it-IT"/>
        </w:rPr>
      </w:pPr>
      <w:r>
        <w:rPr>
          <w:rFonts w:cs="Open Sans Light" w:ascii="Open Sans Light" w:hAnsi="Open Sans Light"/>
          <w:sz w:val="20"/>
          <w:lang w:val="it-IT"/>
        </w:rPr>
      </w:r>
    </w:p>
    <w:p>
      <w:pPr>
        <w:pStyle w:val="Normal"/>
        <w:rPr>
          <w:rFonts w:ascii="Open Sans Light" w:hAnsi="Open Sans Light" w:cs="Open Sans Light"/>
          <w:sz w:val="20"/>
          <w:lang w:val="it-IT"/>
        </w:rPr>
      </w:pPr>
      <w:r>
        <w:rPr>
          <w:rFonts w:cs="Open Sans Light" w:ascii="Open Sans Light" w:hAnsi="Open Sans Light"/>
          <w:sz w:val="20"/>
          <w:lang w:val="it-IT"/>
        </w:rPr>
        <w:t xml:space="preserve">Ai sensi e per gli effetti degli artt. 1341 e 1342 c.c., le Parti specificamente approvano i patti di cui agli articoli 6, 7 e 8 (Obblighi), 15 (…. ) </w:t>
      </w:r>
    </w:p>
    <w:p>
      <w:pPr>
        <w:pStyle w:val="Normal"/>
        <w:spacing w:lineRule="auto" w:line="360" w:before="0" w:after="120"/>
        <w:jc w:val="both"/>
        <w:rPr>
          <w:rFonts w:ascii="Open Sans Light" w:hAnsi="Open Sans Light" w:cs="Open Sans Light"/>
          <w:sz w:val="20"/>
          <w:lang w:val="it-IT"/>
        </w:rPr>
      </w:pPr>
      <w:r>
        <w:rPr>
          <w:rFonts w:cs="Open Sans Light" w:ascii="Open Sans Light" w:hAnsi="Open Sans Light"/>
          <w:sz w:val="20"/>
          <w:lang w:val="it-IT"/>
        </w:rPr>
      </w:r>
    </w:p>
    <w:p>
      <w:pPr>
        <w:pStyle w:val="Normal"/>
        <w:spacing w:lineRule="auto" w:line="360" w:before="0" w:after="120"/>
        <w:rPr>
          <w:lang w:val="it-IT"/>
        </w:rPr>
      </w:pPr>
      <w:r>
        <w:rPr>
          <w:lang w:val="it-IT"/>
        </w:rPr>
      </w:r>
    </w:p>
    <w:sectPr>
      <w:headerReference w:type="even" r:id="rId13"/>
      <w:headerReference w:type="default" r:id="rId14"/>
      <w:headerReference w:type="first" r:id="rId15"/>
      <w:footerReference w:type="even" r:id="rId16"/>
      <w:footerReference w:type="default" r:id="rId17"/>
      <w:footerReference w:type="first" r:id="rId18"/>
      <w:type w:val="nextPage"/>
      <w:pgSz w:w="11906" w:h="16838"/>
      <w:pgMar w:left="1588" w:right="1588" w:gutter="0" w:header="720" w:top="1668" w:footer="720" w:bottom="1701"/>
      <w:pgNumType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Calibri Light">
    <w:charset w:val="01"/>
    <w:family w:val="swiss"/>
    <w:pitch w:val="default"/>
  </w:font>
  <w:font w:name="Calibri">
    <w:charset w:val="01"/>
    <w:family w:val="swiss"/>
    <w:pitch w:val="default"/>
  </w:font>
  <w:font w:name="Trebuchet MS">
    <w:charset w:val="01"/>
    <w:family w:val="swiss"/>
    <w:pitch w:val="default"/>
  </w:font>
  <w:font w:name="Chicago">
    <w:charset w:val="01"/>
    <w:family w:val="swiss"/>
    <w:pitch w:val="default"/>
  </w:font>
  <w:font w:name="Open Sans Light">
    <w:charset w:val="01"/>
    <w:family w:val="swiss"/>
    <w:pitch w:val="default"/>
  </w:font>
  <w:font w:name="Arial">
    <w:charset w:val="01"/>
    <w:family w:val="swiss"/>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mc:AlternateContent>
        <mc:Choice Requires="wps">
          <w:drawing>
            <wp:anchor behindDoc="1" distT="0" distB="0" distL="0" distR="0" simplePos="0" locked="0" layoutInCell="0" allowOverlap="1" relativeHeight="4" wp14:anchorId="5F19038C">
              <wp:simplePos x="0" y="0"/>
              <wp:positionH relativeFrom="margin">
                <wp:align>center</wp:align>
              </wp:positionH>
              <wp:positionV relativeFrom="paragraph">
                <wp:posOffset>635</wp:posOffset>
              </wp:positionV>
              <wp:extent cx="14605" cy="14605"/>
              <wp:effectExtent l="0" t="0" r="0" b="0"/>
              <wp:wrapSquare wrapText="bothSides"/>
              <wp:docPr id="4" name="Cornice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Cornice1" path="m0,0l-2147483645,0l-2147483645,-2147483646l0,-2147483646xe" stroked="f" o:allowincell="f" style="position:absolute;margin-left:0pt;margin-top:0.05pt;width:1.1pt;height:1.1pt;mso-wrap-style:square;v-text-anchor:top;mso-position-horizontal:center;mso-position-horizontal-relative:margin" wp14:anchorId="5F19038C">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873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496"/>
      <w:gridCol w:w="3964"/>
      <w:gridCol w:w="2271"/>
    </w:tblGrid>
    <w:tr>
      <w:trPr>
        <w:trHeight w:val="2124" w:hRule="atLeast"/>
      </w:trPr>
      <w:tc>
        <w:tcPr>
          <w:tcW w:w="2496" w:type="dxa"/>
          <w:tcBorders/>
          <w:vAlign w:val="center"/>
        </w:tcPr>
        <w:p>
          <w:pPr>
            <w:pStyle w:val="Header"/>
            <w:jc w:val="center"/>
            <w:rPr/>
          </w:pPr>
          <w:r>
            <w:rPr/>
            <w:drawing>
              <wp:inline distT="0" distB="0" distL="0" distR="0">
                <wp:extent cx="1338580" cy="849630"/>
                <wp:effectExtent l="0" t="0" r="0" b="0"/>
                <wp:docPr id="1" name="Immagine 2" descr="Immagine che contiene logo, Carattere, Elementi grafici,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descr="Immagine che contiene logo, Carattere, Elementi grafici, testo&#10;&#10;Descrizione generata automaticamente"/>
                        <pic:cNvPicPr>
                          <a:picLocks noChangeAspect="1" noChangeArrowheads="1"/>
                        </pic:cNvPicPr>
                      </pic:nvPicPr>
                      <pic:blipFill>
                        <a:blip r:embed="rId1"/>
                        <a:srcRect l="17919" t="24684" r="19328" b="18993"/>
                        <a:stretch>
                          <a:fillRect/>
                        </a:stretch>
                      </pic:blipFill>
                      <pic:spPr bwMode="auto">
                        <a:xfrm>
                          <a:off x="0" y="0"/>
                          <a:ext cx="1338580" cy="849630"/>
                        </a:xfrm>
                        <a:prstGeom prst="rect">
                          <a:avLst/>
                        </a:prstGeom>
                      </pic:spPr>
                    </pic:pic>
                  </a:graphicData>
                </a:graphic>
              </wp:inline>
            </w:drawing>
          </w:r>
        </w:p>
      </w:tc>
      <w:tc>
        <w:tcPr>
          <w:tcW w:w="3964" w:type="dxa"/>
          <w:tcBorders/>
          <w:vAlign w:val="center"/>
        </w:tcPr>
        <w:p>
          <w:pPr>
            <w:pStyle w:val="Header"/>
            <w:rPr/>
          </w:pPr>
          <w:r>
            <w:rPr/>
            <w:drawing>
              <wp:inline distT="0" distB="0" distL="0" distR="0">
                <wp:extent cx="2374265" cy="563245"/>
                <wp:effectExtent l="0" t="0" r="0" b="0"/>
                <wp:docPr id="2" name="Immagine 1" descr="Immagine che contiene testo, Caratter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Immagine che contiene testo, Carattere, schermata&#10;&#10;Descrizione generata automaticamente"/>
                        <pic:cNvPicPr>
                          <a:picLocks noChangeAspect="1" noChangeArrowheads="1"/>
                        </pic:cNvPicPr>
                      </pic:nvPicPr>
                      <pic:blipFill>
                        <a:blip r:embed="rId2"/>
                        <a:stretch>
                          <a:fillRect/>
                        </a:stretch>
                      </pic:blipFill>
                      <pic:spPr bwMode="auto">
                        <a:xfrm>
                          <a:off x="0" y="0"/>
                          <a:ext cx="2374265" cy="563245"/>
                        </a:xfrm>
                        <a:prstGeom prst="rect">
                          <a:avLst/>
                        </a:prstGeom>
                      </pic:spPr>
                    </pic:pic>
                  </a:graphicData>
                </a:graphic>
              </wp:inline>
            </w:drawing>
          </w:r>
        </w:p>
      </w:tc>
      <w:tc>
        <w:tcPr>
          <w:tcW w:w="2271" w:type="dxa"/>
          <w:tcBorders/>
          <w:vAlign w:val="center"/>
        </w:tcPr>
        <w:p>
          <w:pPr>
            <w:pStyle w:val="Header"/>
            <w:jc w:val="center"/>
            <w:rPr/>
          </w:pPr>
          <w:r>
            <w:rPr/>
            <w:drawing>
              <wp:inline distT="0" distB="0" distL="0" distR="0">
                <wp:extent cx="1001395" cy="1010285"/>
                <wp:effectExtent l="0" t="0" r="0" b="0"/>
                <wp:docPr id="3" name="Immagin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4" descr=""/>
                        <pic:cNvPicPr>
                          <a:picLocks noChangeAspect="1" noChangeArrowheads="1"/>
                        </pic:cNvPicPr>
                      </pic:nvPicPr>
                      <pic:blipFill>
                        <a:blip r:embed="rId3"/>
                        <a:stretch>
                          <a:fillRect/>
                        </a:stretch>
                      </pic:blipFill>
                      <pic:spPr bwMode="auto">
                        <a:xfrm>
                          <a:off x="0" y="0"/>
                          <a:ext cx="1001395" cy="1010285"/>
                        </a:xfrm>
                        <a:prstGeom prst="rect">
                          <a:avLst/>
                        </a:prstGeom>
                      </pic:spPr>
                    </pic:pic>
                  </a:graphicData>
                </a:graphic>
              </wp:inline>
            </w:drawing>
          </w:r>
        </w:p>
        <w:p>
          <w:pPr>
            <w:pStyle w:val="Normal"/>
            <w:rPr/>
          </w:pPr>
          <w:r>
            <w:rPr/>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502"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lowerLetter"/>
      <w:lvlText w:val="%1)"/>
      <w:lvlJc w:val="left"/>
      <w:pPr>
        <w:tabs>
          <w:tab w:val="num" w:pos="3042"/>
        </w:tabs>
        <w:ind w:left="3762"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Art. %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482"/>
  <w:autoHyphenation w:val="true"/>
  <w:hyphenationZone w:val="283"/>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PMingLiU" w:cs="Times New Roman"/>
        <w:lang w:val="en-US"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26056"/>
    <w:pPr>
      <w:widowControl w:val="false"/>
      <w:suppressAutoHyphens w:val="true"/>
      <w:bidi w:val="0"/>
      <w:spacing w:before="0" w:after="0"/>
      <w:jc w:val="left"/>
    </w:pPr>
    <w:rPr>
      <w:rFonts w:ascii="Times New Roman" w:hAnsi="Times New Roman" w:eastAsia="PMingLiU" w:cs="Times New Roman"/>
      <w:color w:val="auto"/>
      <w:kern w:val="2"/>
      <w:sz w:val="24"/>
      <w:szCs w:val="20"/>
      <w:lang w:val="en-US" w:eastAsia="zh-TW" w:bidi="ar-SA"/>
    </w:rPr>
  </w:style>
  <w:style w:type="paragraph" w:styleId="Heading1">
    <w:name w:val="Heading 1"/>
    <w:basedOn w:val="Normal"/>
    <w:next w:val="Normal"/>
    <w:qFormat/>
    <w:pPr>
      <w:keepNext w:val="true"/>
      <w:outlineLvl w:val="0"/>
    </w:pPr>
    <w:rPr>
      <w:sz w:val="32"/>
    </w:rPr>
  </w:style>
  <w:style w:type="paragraph" w:styleId="Heading2">
    <w:name w:val="Heading 2"/>
    <w:basedOn w:val="Normal"/>
    <w:next w:val="NormalIndent"/>
    <w:qFormat/>
    <w:pPr>
      <w:keepNext w:val="true"/>
      <w:jc w:val="center"/>
      <w:outlineLvl w:val="1"/>
    </w:pPr>
    <w:rPr>
      <w:sz w:val="32"/>
    </w:rPr>
  </w:style>
  <w:style w:type="paragraph" w:styleId="Heading3">
    <w:name w:val="Heading 3"/>
    <w:basedOn w:val="Normal"/>
    <w:next w:val="Normal"/>
    <w:link w:val="Titolo3Carattere"/>
    <w:semiHidden/>
    <w:unhideWhenUsed/>
    <w:qFormat/>
    <w:rsid w:val="000a6615"/>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Cs w:val="24"/>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TestonotaapidipaginaCarattere" w:customStyle="1">
    <w:name w:val="Testo nota a piè di pagina Carattere"/>
    <w:qFormat/>
    <w:rsid w:val="000665be"/>
    <w:rPr>
      <w:rFonts w:ascii="Calibri" w:hAnsi="Calibri" w:eastAsia="Calibri"/>
      <w:lang w:val="en-GB" w:eastAsia="en-US" w:bidi="ar-SA"/>
    </w:rPr>
  </w:style>
  <w:style w:type="character" w:styleId="Caratterinotaapidipagina" w:customStyle="1">
    <w:name w:val="Caratteri nota a piè di pagina"/>
    <w:semiHidden/>
    <w:unhideWhenUsed/>
    <w:qFormat/>
    <w:rsid w:val="000665be"/>
    <w:rPr>
      <w:vertAlign w:val="superscript"/>
    </w:rPr>
  </w:style>
  <w:style w:type="character" w:styleId="FootnoteReference">
    <w:name w:val="Footnote Reference"/>
    <w:rPr>
      <w:vertAlign w:val="superscript"/>
    </w:rPr>
  </w:style>
  <w:style w:type="character" w:styleId="Hyperlink">
    <w:name w:val="Hyperlink"/>
    <w:rsid w:val="000665be"/>
    <w:rPr>
      <w:color w:val="0000FF"/>
      <w:u w:val="single"/>
    </w:rPr>
  </w:style>
  <w:style w:type="character" w:styleId="CarattereCarattere5" w:customStyle="1">
    <w:name w:val="Carattere Carattere5"/>
    <w:qFormat/>
    <w:rsid w:val="008c1221"/>
    <w:rPr>
      <w:rFonts w:ascii="Calibri" w:hAnsi="Calibri" w:eastAsia="Calibri"/>
      <w:lang w:val="en-GB" w:eastAsia="en-US" w:bidi="ar-SA"/>
    </w:rPr>
  </w:style>
  <w:style w:type="character" w:styleId="Apple-converted-space" w:customStyle="1">
    <w:name w:val="apple-converted-space"/>
    <w:qFormat/>
    <w:rsid w:val="00116c1c"/>
    <w:rPr/>
  </w:style>
  <w:style w:type="character" w:styleId="IntestazioneCarattere" w:customStyle="1">
    <w:name w:val="Intestazione Carattere"/>
    <w:qFormat/>
    <w:rsid w:val="00b628cb"/>
    <w:rPr>
      <w:kern w:val="2"/>
      <w:lang w:val="en-US" w:eastAsia="zh-TW"/>
    </w:rPr>
  </w:style>
  <w:style w:type="character" w:styleId="UnresolvedMention">
    <w:name w:val="Unresolved Mention"/>
    <w:basedOn w:val="DefaultParagraphFont"/>
    <w:uiPriority w:val="99"/>
    <w:semiHidden/>
    <w:unhideWhenUsed/>
    <w:qFormat/>
    <w:rsid w:val="00f210ad"/>
    <w:rPr>
      <w:color w:val="605E5C"/>
      <w:shd w:fill="E1DFDD" w:val="clear"/>
    </w:rPr>
  </w:style>
  <w:style w:type="character" w:styleId="Annotationreference">
    <w:name w:val="annotation reference"/>
    <w:basedOn w:val="DefaultParagraphFont"/>
    <w:qFormat/>
    <w:rsid w:val="00883322"/>
    <w:rPr>
      <w:sz w:val="16"/>
      <w:szCs w:val="16"/>
    </w:rPr>
  </w:style>
  <w:style w:type="character" w:styleId="TestocommentoCarattere" w:customStyle="1">
    <w:name w:val="Testo commento Carattere"/>
    <w:basedOn w:val="DefaultParagraphFont"/>
    <w:link w:val="Annotationtext"/>
    <w:qFormat/>
    <w:rsid w:val="00883322"/>
    <w:rPr>
      <w:kern w:val="2"/>
      <w:lang w:eastAsia="zh-TW"/>
    </w:rPr>
  </w:style>
  <w:style w:type="character" w:styleId="SoggettocommentoCarattere" w:customStyle="1">
    <w:name w:val="Soggetto commento Carattere"/>
    <w:basedOn w:val="TestocommentoCarattere"/>
    <w:link w:val="Annotationsubject"/>
    <w:qFormat/>
    <w:rsid w:val="00883322"/>
    <w:rPr>
      <w:b/>
      <w:bCs/>
      <w:kern w:val="2"/>
      <w:lang w:eastAsia="zh-TW"/>
    </w:rPr>
  </w:style>
  <w:style w:type="character" w:styleId="Titolo3Carattere" w:customStyle="1">
    <w:name w:val="Titolo 3 Carattere"/>
    <w:basedOn w:val="DefaultParagraphFont"/>
    <w:semiHidden/>
    <w:qFormat/>
    <w:rsid w:val="000a6615"/>
    <w:rPr>
      <w:rFonts w:ascii="Calibri Light" w:hAnsi="Calibri Light" w:eastAsia="" w:cs="" w:asciiTheme="majorHAnsi" w:cstheme="majorBidi" w:eastAsiaTheme="majorEastAsia" w:hAnsiTheme="majorHAnsi"/>
      <w:color w:themeColor="accent1" w:themeShade="7f" w:val="1F4D78"/>
      <w:kern w:val="2"/>
      <w:sz w:val="24"/>
      <w:szCs w:val="24"/>
      <w:lang w:eastAsia="zh-TW"/>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rFonts w:ascii="Trebuchet MS" w:hAnsi="Trebuchet MS" w:cs="Arial Unicode MS"/>
    </w:rPr>
  </w:style>
  <w:style w:type="paragraph" w:styleId="Title">
    <w:name w:val="Title"/>
    <w:basedOn w:val="Normal"/>
    <w:next w:val="BodyText"/>
    <w:qFormat/>
    <w:pPr>
      <w:keepNext w:val="true"/>
      <w:spacing w:before="240" w:after="120"/>
    </w:pPr>
    <w:rPr>
      <w:rFonts w:ascii="Trebuchet MS" w:hAnsi="Trebuchet MS" w:eastAsia="Microsoft YaHei" w:cs="Arial Unicode MS"/>
      <w:sz w:val="20"/>
      <w:szCs w:val="28"/>
    </w:rPr>
  </w:style>
  <w:style w:type="paragraph" w:styleId="Caption1">
    <w:name w:val="caption1"/>
    <w:basedOn w:val="Normal"/>
    <w:qFormat/>
    <w:pPr>
      <w:suppressLineNumbers/>
      <w:spacing w:before="120" w:after="120"/>
    </w:pPr>
    <w:rPr>
      <w:rFonts w:ascii="Trebuchet MS" w:hAnsi="Trebuchet MS" w:cs="Arial Unicode MS"/>
      <w:i/>
      <w:iCs/>
      <w:szCs w:val="24"/>
    </w:rPr>
  </w:style>
  <w:style w:type="paragraph" w:styleId="NormalIndent">
    <w:name w:val="Normal Indent"/>
    <w:basedOn w:val="Normal"/>
    <w:qFormat/>
    <w:pPr>
      <w:ind w:left="480"/>
    </w:pPr>
    <w:rPr/>
  </w:style>
  <w:style w:type="paragraph" w:styleId="Intestazioneepidipagina" w:customStyle="1">
    <w:name w:val="Intestazione e piè di pagina"/>
    <w:basedOn w:val="Normal"/>
    <w:qFormat/>
    <w:pPr/>
    <w:rPr/>
  </w:style>
  <w:style w:type="paragraph" w:styleId="Footer">
    <w:name w:val="Footer"/>
    <w:basedOn w:val="Normal"/>
    <w:pPr>
      <w:tabs>
        <w:tab w:val="clear" w:pos="482"/>
        <w:tab w:val="center" w:pos="4153" w:leader="none"/>
        <w:tab w:val="right" w:pos="8306" w:leader="none"/>
      </w:tabs>
      <w:snapToGrid w:val="false"/>
    </w:pPr>
    <w:rPr>
      <w:sz w:val="20"/>
    </w:rPr>
  </w:style>
  <w:style w:type="paragraph" w:styleId="Header">
    <w:name w:val="Header"/>
    <w:basedOn w:val="Normal"/>
    <w:link w:val="IntestazioneCarattere"/>
    <w:pPr>
      <w:tabs>
        <w:tab w:val="clear" w:pos="482"/>
        <w:tab w:val="center" w:pos="4153" w:leader="none"/>
        <w:tab w:val="right" w:pos="8306" w:leader="none"/>
      </w:tabs>
      <w:snapToGrid w:val="false"/>
    </w:pPr>
    <w:rPr>
      <w:sz w:val="20"/>
    </w:rPr>
  </w:style>
  <w:style w:type="paragraph" w:styleId="T17" w:customStyle="1">
    <w:name w:val="t17"/>
    <w:basedOn w:val="Normal"/>
    <w:qFormat/>
    <w:rsid w:val="001d15b9"/>
    <w:pPr>
      <w:widowControl/>
      <w:tabs>
        <w:tab w:val="clear" w:pos="482"/>
        <w:tab w:val="left" w:pos="740" w:leader="none"/>
        <w:tab w:val="left" w:pos="3540" w:leader="none"/>
      </w:tabs>
      <w:spacing w:lineRule="atLeast" w:line="240"/>
      <w:textAlignment w:val="baseline"/>
    </w:pPr>
    <w:rPr>
      <w:rFonts w:ascii="Chicago" w:hAnsi="Chicago" w:eastAsia="Times New Roman"/>
      <w:kern w:val="0"/>
      <w:lang w:val="it-IT" w:eastAsia="it-IT"/>
    </w:rPr>
  </w:style>
  <w:style w:type="paragraph" w:styleId="FootnoteText">
    <w:name w:val="Footnote Text"/>
    <w:basedOn w:val="Normal"/>
    <w:link w:val="TestonotaapidipaginaCarattere"/>
    <w:unhideWhenUsed/>
    <w:rsid w:val="000665be"/>
    <w:pPr>
      <w:widowControl/>
      <w:spacing w:lineRule="auto" w:line="276" w:before="0" w:after="200"/>
    </w:pPr>
    <w:rPr>
      <w:rFonts w:ascii="Calibri" w:hAnsi="Calibri" w:eastAsia="Calibri"/>
      <w:kern w:val="0"/>
      <w:sz w:val="20"/>
      <w:lang w:val="en-GB" w:eastAsia="en-US"/>
    </w:rPr>
  </w:style>
  <w:style w:type="paragraph" w:styleId="NormalWeb">
    <w:name w:val="Normal (Web)"/>
    <w:basedOn w:val="Normal"/>
    <w:uiPriority w:val="99"/>
    <w:unhideWhenUsed/>
    <w:qFormat/>
    <w:rsid w:val="00a917cd"/>
    <w:pPr>
      <w:widowControl/>
      <w:spacing w:beforeAutospacing="1" w:afterAutospacing="1"/>
    </w:pPr>
    <w:rPr>
      <w:rFonts w:eastAsia="Times New Roman"/>
      <w:kern w:val="0"/>
      <w:szCs w:val="24"/>
      <w:lang w:val="it-IT" w:eastAsia="it-IT"/>
    </w:rPr>
  </w:style>
  <w:style w:type="paragraph" w:styleId="ListParagraph">
    <w:name w:val="List Paragraph"/>
    <w:basedOn w:val="Normal"/>
    <w:uiPriority w:val="1"/>
    <w:qFormat/>
    <w:rsid w:val="000359b2"/>
    <w:pPr>
      <w:spacing w:before="0" w:after="0"/>
      <w:ind w:left="720"/>
      <w:contextualSpacing/>
    </w:pPr>
    <w:rPr/>
  </w:style>
  <w:style w:type="paragraph" w:styleId="Annotationtext">
    <w:name w:val="annotation text"/>
    <w:basedOn w:val="Normal"/>
    <w:link w:val="TestocommentoCarattere"/>
    <w:qFormat/>
    <w:rsid w:val="00883322"/>
    <w:pPr/>
    <w:rPr>
      <w:sz w:val="20"/>
    </w:rPr>
  </w:style>
  <w:style w:type="paragraph" w:styleId="Annotationsubject">
    <w:name w:val="annotation subject"/>
    <w:basedOn w:val="Annotationtext"/>
    <w:next w:val="Annotationtext"/>
    <w:link w:val="SoggettocommentoCarattere"/>
    <w:qFormat/>
    <w:rsid w:val="00883322"/>
    <w:pPr/>
    <w:rPr>
      <w:b/>
      <w:bCs/>
    </w:rPr>
  </w:style>
  <w:style w:type="paragraph" w:styleId="Contenutocornice" w:customStyle="1">
    <w:name w:val="Contenuto cornice"/>
    <w:basedOn w:val="Normal"/>
    <w:qFormat/>
    <w:pPr/>
    <w:rPr/>
  </w:style>
  <w:style w:type="paragraph" w:styleId="Revision">
    <w:name w:val="Revision"/>
    <w:uiPriority w:val="99"/>
    <w:semiHidden/>
    <w:qFormat/>
    <w:rsid w:val="00e50045"/>
    <w:pPr>
      <w:widowControl/>
      <w:suppressAutoHyphens w:val="false"/>
      <w:bidi w:val="0"/>
      <w:spacing w:before="0" w:after="0"/>
      <w:jc w:val="left"/>
    </w:pPr>
    <w:rPr>
      <w:rFonts w:ascii="Times New Roman" w:hAnsi="Times New Roman" w:eastAsia="PMingLiU" w:cs="Times New Roman"/>
      <w:color w:val="auto"/>
      <w:kern w:val="2"/>
      <w:sz w:val="24"/>
      <w:szCs w:val="20"/>
      <w:lang w:val="en-US" w:eastAsia="zh-TW"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c91b1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omune.re.it/" TargetMode="External"/><Relationship Id="rId3" Type="http://schemas.openxmlformats.org/officeDocument/2006/relationships/hyperlink" Target="https://www.comune.reggioemilia.it/" TargetMode="External"/><Relationship Id="rId4" Type="http://schemas.openxmlformats.org/officeDocument/2006/relationships/hyperlink" Target="https://www.comune.reggioemilia.it/amministrazione-trasparente" TargetMode="External"/><Relationship Id="rId5" Type="http://schemas.openxmlformats.org/officeDocument/2006/relationships/hyperlink" Target="https://www.comune.reggioemilia.it/amministrazione-trasparente/altri-contenuti" TargetMode="External"/><Relationship Id="rId6" Type="http://schemas.openxmlformats.org/officeDocument/2006/relationships/hyperlink" Target="https://www.comune.reggioemilia.it/" TargetMode="External"/><Relationship Id="rId7" Type="http://schemas.openxmlformats.org/officeDocument/2006/relationships/hyperlink" Target="https://www.comune.reggioemilia.it/amministrazione-trasparente" TargetMode="External"/><Relationship Id="rId8" Type="http://schemas.openxmlformats.org/officeDocument/2006/relationships/hyperlink" Target="https://www.comune.reggioemilia.it/amministrazione-trasparente/altri-contenuti" TargetMode="External"/><Relationship Id="rId9" Type="http://schemas.openxmlformats.org/officeDocument/2006/relationships/hyperlink" Target="https://www.comune.reggioemilia.it/amministrazione-trasparente/altri-contenuti/prevenzione-della-corruzione" TargetMode="External"/><Relationship Id="rId10" Type="http://schemas.openxmlformats.org/officeDocument/2006/relationships/hyperlink" Target="mailto:anas.emiliaromagna@postacert.stradeanas.it" TargetMode="External"/><Relationship Id="rId11" Type="http://schemas.openxmlformats.org/officeDocument/2006/relationships/hyperlink" Target="mailto:sabap-mo@pec.cultura.gov.it" TargetMode="External"/><Relationship Id="rId12" Type="http://schemas.openxmlformats.org/officeDocument/2006/relationships/hyperlink" Target="mailto:servizi.culturali@pec.municipio.re.it"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68F27-C563-44B8-9D00-E2D0887F8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Application>LibreOffice/7.6.4.1$Windows_X86_64 LibreOffice_project/e19e193f88cd6c0525a17fb7a176ed8e6a3e2aa1</Application>
  <AppVersion>15.0000</AppVersion>
  <Pages>15</Pages>
  <Words>5222</Words>
  <Characters>31015</Characters>
  <CharactersWithSpaces>36041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2026-03-26T15:08:00Z</dcterms:created>
  <dc:creator>tsaur</dc:creator>
  <dc:description/>
  <dc:language>it-IT</dc:language>
  <cp:lastModifiedBy>Fabio Bonini</cp:lastModifiedBy>
  <cp:lastPrinted>2026-03-24T14:13:00Z</cp:lastPrinted>
  <dcterms:modified xsi:type="dcterms:W3CDTF">2026-03-27T10:50:06Z</dcterms:modified>
  <cp:revision>14</cp:revision>
  <dc:subject/>
  <dc:title>Agreement regarding Co-operation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Description/">
    <vt:lpwstr/>
  </property>
  <property fmtid="{D5CDD505-2E9C-101B-9397-08002B2CF9AE}" pid="3" name="/Folder_Name/">
    <vt:lpwstr/>
  </property>
  <property fmtid="{D5CDD505-2E9C-101B-9397-08002B2CF9AE}" pid="4" name="Document_CreateDate">
    <vt:lpwstr/>
  </property>
  <property fmtid="{D5CDD505-2E9C-101B-9397-08002B2CF9AE}" pid="5" name="Document_Creator">
    <vt:lpwstr/>
  </property>
  <property fmtid="{D5CDD505-2E9C-101B-9397-08002B2CF9AE}" pid="6" name="Document_CreatorDesc">
    <vt:lpwstr/>
  </property>
  <property fmtid="{D5CDD505-2E9C-101B-9397-08002B2CF9AE}" pid="7" name="Document_Department">
    <vt:lpwstr/>
  </property>
  <property fmtid="{D5CDD505-2E9C-101B-9397-08002B2CF9AE}" pid="8" name="Document_DepartmentDesc">
    <vt:lpwstr/>
  </property>
  <property fmtid="{D5CDD505-2E9C-101B-9397-08002B2CF9AE}" pid="9" name="Document_FileName">
    <vt:lpwstr/>
  </property>
  <property fmtid="{D5CDD505-2E9C-101B-9397-08002B2CF9AE}" pid="10" name="Document_Name">
    <vt:lpwstr/>
  </property>
  <property fmtid="{D5CDD505-2E9C-101B-9397-08002B2CF9AE}" pid="11" name="Document_Number">
    <vt:lpwstr/>
  </property>
  <property fmtid="{D5CDD505-2E9C-101B-9397-08002B2CF9AE}" pid="12" name="Document_Size">
    <vt:lpwstr/>
  </property>
  <property fmtid="{D5CDD505-2E9C-101B-9397-08002B2CF9AE}" pid="13" name="Document_Storage">
    <vt:lpwstr/>
  </property>
  <property fmtid="{D5CDD505-2E9C-101B-9397-08002B2CF9AE}" pid="14" name="Document_StorageDesc">
    <vt:lpwstr/>
  </property>
  <property fmtid="{D5CDD505-2E9C-101B-9397-08002B2CF9AE}" pid="15" name="Document_UpdateDate">
    <vt:lpwstr/>
  </property>
  <property fmtid="{D5CDD505-2E9C-101B-9397-08002B2CF9AE}" pid="16" name="Document_Updater">
    <vt:lpwstr/>
  </property>
  <property fmtid="{D5CDD505-2E9C-101B-9397-08002B2CF9AE}" pid="17" name="Document_UpdaterDesc">
    <vt:lpwstr/>
  </property>
  <property fmtid="{D5CDD505-2E9C-101B-9397-08002B2CF9AE}" pid="18" name="Document_Version">
    <vt:lpwstr/>
  </property>
  <property fmtid="{D5CDD505-2E9C-101B-9397-08002B2CF9AE}" pid="19" name="Document_VersionSeq">
    <vt:lpwstr/>
  </property>
  <property fmtid="{D5CDD505-2E9C-101B-9397-08002B2CF9AE}" pid="20" name="Folder_Code">
    <vt:lpwstr/>
  </property>
  <property fmtid="{D5CDD505-2E9C-101B-9397-08002B2CF9AE}" pid="21" name="Folder_CreateDate">
    <vt:lpwstr/>
  </property>
  <property fmtid="{D5CDD505-2E9C-101B-9397-08002B2CF9AE}" pid="22" name="Folder_Creator">
    <vt:lpwstr/>
  </property>
  <property fmtid="{D5CDD505-2E9C-101B-9397-08002B2CF9AE}" pid="23" name="Folder_CreatorDesc">
    <vt:lpwstr/>
  </property>
  <property fmtid="{D5CDD505-2E9C-101B-9397-08002B2CF9AE}" pid="24" name="Folder_Description">
    <vt:lpwstr/>
  </property>
  <property fmtid="{D5CDD505-2E9C-101B-9397-08002B2CF9AE}" pid="25" name="Folder_Manager">
    <vt:lpwstr/>
  </property>
  <property fmtid="{D5CDD505-2E9C-101B-9397-08002B2CF9AE}" pid="26" name="Folder_ManagerDesc">
    <vt:lpwstr/>
  </property>
  <property fmtid="{D5CDD505-2E9C-101B-9397-08002B2CF9AE}" pid="27" name="Folder_Name">
    <vt:lpwstr/>
  </property>
  <property fmtid="{D5CDD505-2E9C-101B-9397-08002B2CF9AE}" pid="28" name="Folder_Number">
    <vt:lpwstr/>
  </property>
  <property fmtid="{D5CDD505-2E9C-101B-9397-08002B2CF9AE}" pid="29" name="Folder_Storage">
    <vt:lpwstr/>
  </property>
  <property fmtid="{D5CDD505-2E9C-101B-9397-08002B2CF9AE}" pid="30" name="Folder_StorageDesc">
    <vt:lpwstr/>
  </property>
  <property fmtid="{D5CDD505-2E9C-101B-9397-08002B2CF9AE}" pid="31" name="Folder_UpdateDate">
    <vt:lpwstr/>
  </property>
  <property fmtid="{D5CDD505-2E9C-101B-9397-08002B2CF9AE}" pid="32" name="Folder_Updater">
    <vt:lpwstr/>
  </property>
  <property fmtid="{D5CDD505-2E9C-101B-9397-08002B2CF9AE}" pid="33" name="Folder_UpdaterDesc">
    <vt:lpwstr/>
  </property>
  <property fmtid="{D5CDD505-2E9C-101B-9397-08002B2CF9AE}" pid="34" name="Folder_Version">
    <vt:lpwstr/>
  </property>
  <property fmtid="{D5CDD505-2E9C-101B-9397-08002B2CF9AE}" pid="35" name="Folder_VersionSeq">
    <vt:lpwstr/>
  </property>
  <property fmtid="{D5CDD505-2E9C-101B-9397-08002B2CF9AE}" pid="36" name="MSIP_Label_df741c83-a9ef-4d42-8d1b-247615bb1e96_ActionId">
    <vt:lpwstr>384b3320-12c2-4d5d-a482-1f8d2789457b</vt:lpwstr>
  </property>
  <property fmtid="{D5CDD505-2E9C-101B-9397-08002B2CF9AE}" pid="37" name="MSIP_Label_df741c83-a9ef-4d42-8d1b-247615bb1e96_ContentBits">
    <vt:lpwstr>0</vt:lpwstr>
  </property>
  <property fmtid="{D5CDD505-2E9C-101B-9397-08002B2CF9AE}" pid="38" name="MSIP_Label_df741c83-a9ef-4d42-8d1b-247615bb1e96_Enabled">
    <vt:lpwstr>true</vt:lpwstr>
  </property>
  <property fmtid="{D5CDD505-2E9C-101B-9397-08002B2CF9AE}" pid="39" name="MSIP_Label_df741c83-a9ef-4d42-8d1b-247615bb1e96_Method">
    <vt:lpwstr>Privileged</vt:lpwstr>
  </property>
  <property fmtid="{D5CDD505-2E9C-101B-9397-08002B2CF9AE}" pid="40" name="MSIP_Label_df741c83-a9ef-4d42-8d1b-247615bb1e96_Name">
    <vt:lpwstr>Internal use without footer</vt:lpwstr>
  </property>
  <property fmtid="{D5CDD505-2E9C-101B-9397-08002B2CF9AE}" pid="41" name="MSIP_Label_df741c83-a9ef-4d42-8d1b-247615bb1e96_SetDate">
    <vt:lpwstr>2024-07-02T08:24:48Z</vt:lpwstr>
  </property>
  <property fmtid="{D5CDD505-2E9C-101B-9397-08002B2CF9AE}" pid="42" name="MSIP_Label_df741c83-a9ef-4d42-8d1b-247615bb1e96_SiteId">
    <vt:lpwstr>f57babab-d7b5-4fb8-8ddd-057ce542d039</vt:lpwstr>
  </property>
</Properties>
</file>