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header5.xml.rels" ContentType="application/vnd.openxmlformats-package.relationships+xml"/>
  <Override PartName="/word/_rels/header6.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Normal"/>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Normal"/>
        <w:jc w:val="center"/>
        <w:rPr>
          <w:color w:val="000000"/>
        </w:rPr>
      </w:pPr>
      <w:r>
        <w:rPr>
          <w:color w:val="000000"/>
        </w:rPr>
      </w:r>
    </w:p>
    <w:p>
      <w:pPr>
        <w:pStyle w:val="Normal"/>
        <w:jc w:val="center"/>
        <w:rPr>
          <w:b/>
          <w:bCs/>
        </w:rPr>
      </w:pPr>
      <w:r>
        <w:rPr>
          <w:color w:val="000000"/>
        </w:rPr>
        <w:t>COMUNE DI REGGIO EMILIA</w:t>
      </w:r>
    </w:p>
    <w:p>
      <w:pPr>
        <w:pStyle w:val="Normal"/>
        <w:ind w:hanging="195"/>
        <w:jc w:val="center"/>
        <w:rPr>
          <w:b/>
          <w:bCs/>
        </w:rPr>
      </w:pPr>
      <w:r>
        <w:rPr>
          <w:b/>
          <w:bCs/>
        </w:rPr>
        <w:t>AVVISO PUBBLICO DI MANIFESTAZIONE DI INTERESSE PER LA RICERCA DI PARTENARIATO DI PROGETTO</w:t>
      </w:r>
    </w:p>
    <w:p>
      <w:pPr>
        <w:pStyle w:val="Normal"/>
        <w:ind w:firstLine="415"/>
        <w:jc w:val="center"/>
        <w:rPr>
          <w:b/>
          <w:bCs/>
          <w:color w:val="000000"/>
          <w:u w:val="single"/>
        </w:rPr>
      </w:pPr>
      <w:r>
        <w:rPr>
          <w:b/>
          <w:bCs/>
        </w:rPr>
        <w:t>IN RIFERIMENTO AL 4° BANDO “EUI – EUROPEAN URBAN INITIATIVE”</w:t>
      </w:r>
    </w:p>
    <w:p>
      <w:pPr>
        <w:pStyle w:val="Normal"/>
        <w:numPr>
          <w:ilvl w:val="0"/>
          <w:numId w:val="1"/>
        </w:numPr>
        <w:tabs>
          <w:tab w:val="clear" w:pos="709"/>
          <w:tab w:val="left" w:pos="795" w:leader="none"/>
        </w:tabs>
        <w:ind w:hanging="358" w:left="0"/>
        <w:rPr>
          <w:b/>
          <w:bCs/>
          <w:color w:val="000000"/>
        </w:rPr>
      </w:pPr>
      <w:r>
        <w:rPr>
          <w:b/>
          <w:bCs/>
          <w:color w:val="000000"/>
          <w:u w:val="single"/>
        </w:rPr>
        <w:t>PREMESSE</w:t>
      </w:r>
    </w:p>
    <w:p>
      <w:pPr>
        <w:pStyle w:val="Normal"/>
        <w:rPr>
          <w:b/>
          <w:bCs/>
          <w:color w:val="000000"/>
        </w:rPr>
      </w:pPr>
      <w:r>
        <w:rPr>
          <w:b/>
          <w:bCs/>
          <w:color w:val="000000"/>
        </w:rPr>
      </w:r>
    </w:p>
    <w:p>
      <w:pPr>
        <w:pStyle w:val="Normal"/>
        <w:numPr>
          <w:ilvl w:val="1"/>
          <w:numId w:val="1"/>
        </w:numPr>
        <w:tabs>
          <w:tab w:val="clear" w:pos="709"/>
          <w:tab w:val="left" w:pos="796" w:leader="none"/>
        </w:tabs>
        <w:ind w:hanging="359" w:left="0"/>
        <w:jc w:val="both"/>
        <w:rPr>
          <w:b/>
          <w:bCs/>
          <w:color w:val="000000"/>
        </w:rPr>
      </w:pPr>
      <w:r>
        <w:rPr>
          <w:b/>
          <w:bCs/>
          <w:color w:val="000000"/>
          <w:u w:val="single"/>
        </w:rPr>
        <w:t>CONTESTO DELL’AVVISO</w:t>
      </w:r>
    </w:p>
    <w:p>
      <w:pPr>
        <w:pStyle w:val="Normal"/>
        <w:rPr>
          <w:b/>
          <w:bCs/>
          <w:color w:val="000000"/>
        </w:rPr>
      </w:pPr>
      <w:r>
        <w:rPr>
          <w:b/>
          <w:bCs/>
          <w:color w:val="000000"/>
        </w:rPr>
      </w:r>
    </w:p>
    <w:p>
      <w:pPr>
        <w:pStyle w:val="Normal"/>
        <w:jc w:val="both"/>
        <w:rPr>
          <w:color w:val="000000"/>
        </w:rPr>
      </w:pPr>
      <w:r>
        <w:rPr>
          <w:color w:val="000000"/>
          <w:u w:val="single"/>
        </w:rPr>
        <w:t>Il presente avviso rientra nell’azione dell’amministrazione comunale finalizzata alla partecipazione al</w:t>
      </w:r>
      <w:r>
        <w:rPr>
          <w:color w:val="000000"/>
        </w:rPr>
        <w:t xml:space="preserve"> </w:t>
      </w:r>
      <w:r>
        <w:rPr>
          <w:color w:val="000000"/>
          <w:u w:val="single"/>
        </w:rPr>
        <w:t>PROGRAMMA / BANDO EUROPEAN URBAN INITIATIVE.</w:t>
      </w:r>
    </w:p>
    <w:p>
      <w:pPr>
        <w:pStyle w:val="Normal"/>
        <w:jc w:val="both"/>
        <w:rPr>
          <w:color w:val="000000"/>
        </w:rPr>
      </w:pPr>
      <w:r>
        <w:rPr>
          <w:color w:val="000000"/>
        </w:rPr>
        <w:t>Ai sensi dell'articolo 11</w:t>
      </w:r>
      <w:r>
        <w:rPr>
          <w:color w:val="C9211E"/>
        </w:rPr>
        <w:t xml:space="preserve"> </w:t>
      </w:r>
      <w:r>
        <w:rPr>
          <w:color w:val="000000"/>
        </w:rPr>
        <w:t>del Regolamento (UE) 2021/1058 relativo al Fondo Europeo di Sviluppo Regionale, il FESR può sostenere azioni innovative nell’ambito dello sviluppo urbano sostenibile. Inoltre, ai sensi dell’articolo 12 dello stesso, il FESR sostiene l’Iniziativa Urbana Europea (European Urban Initiative – EUI), realizzata dalla Commissione europea al fine di sostenere le città di qualsiasi dimensione</w:t>
      </w:r>
      <w:r>
        <w:rPr/>
        <w:t xml:space="preserve"> nel</w:t>
      </w:r>
      <w:r>
        <w:rPr>
          <w:color w:val="000000"/>
        </w:rPr>
        <w:t xml:space="preserve"> creare capacità e conoscenze, sostenere l'innovazione e sviluppare soluzioni innovative trasferibili e scalabili per le sfide urbane a livello dell'Unione Europea (UE). Uno dei principali obiettivi dell'Iniziativa </w:t>
      </w:r>
      <w:r>
        <w:rPr/>
        <w:t>U</w:t>
      </w:r>
      <w:r>
        <w:rPr>
          <w:color w:val="000000"/>
        </w:rPr>
        <w:t xml:space="preserve">rbana </w:t>
      </w:r>
      <w:r>
        <w:rPr/>
        <w:t>E</w:t>
      </w:r>
      <w:r>
        <w:rPr>
          <w:color w:val="000000"/>
        </w:rPr>
        <w:t>uropea (EUI), e in particolare del suo elemento costitutivo riguardante le azioni innovative (EUI-IA), consiste nella prosecuzione del sostegno avviato dall'iniziativa Azioni Urbane Innovative (UIA – Urban Innovative Action) fornendo alle autorità urbane di tutta Europa spazi e risorse per individuare e sperimentare (attraverso progetti pilota) nuove risposte innovative alle sfide locali interconnesse e complesse legate allo sviluppo urbano sostenibile. Attraverso l'EUI-IA, le autorità urbane avranno la possibilità di testare il modo in cui le soluzioni nuove e non sperimentate funzionano nella pratica nonché il modo in cui rispondono alla complessità della vita reale. I processi e i risultati della sperimentazione saranno seguiti da città partner di altri Paesi (partner di trasferimento) al fine di sostenere e rafforzare la trasferibilità e la replicabilità delle soluzioni innovative testate in tutta l'UE. Le autorità urbane dovrebbero cogliere l'opportunità offerta dall'EUI-IA per sperimentare approcci e metodi di lavoro innovativi al di fuori dell'ambito dei "progetti ordinari" (che potrebbero essere finanziati attraverso le fonti di finanziamento "tradizionali", ivi compresi i programmi convenzionali del FESR). L'EUI-IA consente alle città di trasformare idee ambiziose e creative in prototipi che possono essere collaudati in contesti urbani reali. In altre parole, l'EUI-IA sostiene progetti pilota che sono troppo rischiosi per essere finanziati attraverso fonti di finanziamento tradizionali, purché siano altamente innovativi e di carattere sperimentale.</w:t>
      </w:r>
    </w:p>
    <w:p>
      <w:pPr>
        <w:pStyle w:val="Normal"/>
        <w:jc w:val="both"/>
        <w:rPr>
          <w:color w:val="000000"/>
        </w:rPr>
      </w:pPr>
      <w:r>
        <w:rPr>
          <w:color w:val="000000"/>
        </w:rPr>
        <w:t xml:space="preserve">Il quarto bando EUI-IA, pubblicato ufficialmente nel 2026, ha un budget complessivo di circa 60 milioni di euro FESR. </w:t>
      </w:r>
    </w:p>
    <w:p>
      <w:pPr>
        <w:pStyle w:val="Normal"/>
        <w:jc w:val="both"/>
        <w:rPr>
          <w:color w:val="000000"/>
        </w:rPr>
      </w:pPr>
      <w:r>
        <w:rPr>
          <w:color w:val="000000"/>
        </w:rPr>
        <w:t xml:space="preserve">I progetti EUI sono selezionati attraverso bandi annuali su uno o più temi proposti dalla Commissione. Nell’ambito del quarto bando, ciascun progetto potrà ricevere un cofinanziamento FESR massimo di 2 milioni di euro. La realizzazione del progetto dovrebbe avere una durata massima di 2 anni. </w:t>
      </w:r>
    </w:p>
    <w:p>
      <w:pPr>
        <w:pStyle w:val="Normal"/>
        <w:jc w:val="both"/>
        <w:rPr>
          <w:color w:val="000000"/>
        </w:rPr>
      </w:pPr>
      <w:r>
        <w:rPr>
          <w:color w:val="000000"/>
        </w:rPr>
        <w:t>L'iniziativa EUI è uno strumento dell’Unione Europea amministrato nell'ambito della gestione indiretta dalla Commissione Europea (CE) e dalla Direzione generale della Politica regionale e urbana (DG REGIO). Per la realizzazione dell'iniziativa, la Commissione ha designato la regione Hauts-de-France come Entità delegata dell’attuazione dell’EUI. Per la gestione dell'iniziativa è stato istituito un Segretariato Permanente (SP).</w:t>
      </w:r>
    </w:p>
    <w:p>
      <w:pPr>
        <w:pStyle w:val="Normal"/>
        <w:jc w:val="both"/>
        <w:rPr>
          <w:color w:val="000000"/>
        </w:rPr>
      </w:pPr>
      <w:r>
        <w:rPr>
          <w:color w:val="000000"/>
        </w:rPr>
        <w:t xml:space="preserve">Il 25 febbraio 2026 è stato pubblicato il quarto Bando / Capitolato tecnico con cui si invitano le autorità ammissibili a presentare le proprie proposte progettuali e stabilisce i requisiti e la procedura da seguire per partecipare. Per il suddetto invito a presentare proposte è stato stanziato un bilancio </w:t>
      </w:r>
      <w:r>
        <w:rPr>
          <w:color w:themeColor="text1" w:val="000000"/>
        </w:rPr>
        <w:t xml:space="preserve">complessivo </w:t>
      </w:r>
      <w:r>
        <w:rPr>
          <w:color w:val="000000"/>
        </w:rPr>
        <w:t xml:space="preserve">indicativo di 60 milioni di EUR del FESR. </w:t>
      </w:r>
      <w:r>
        <w:rPr>
          <w:b/>
          <w:bCs/>
          <w:color w:val="000000"/>
          <w:shd w:fill="auto" w:val="clear"/>
        </w:rPr>
        <w:t>La scadenza per la candidatura da parte delle autorità urban è fissata al 15.06.2026</w:t>
      </w:r>
    </w:p>
    <w:p>
      <w:pPr>
        <w:pStyle w:val="Normal"/>
        <w:jc w:val="both"/>
        <w:rPr>
          <w:color w:val="000000"/>
        </w:rPr>
      </w:pPr>
      <w:r>
        <w:rPr>
          <w:color w:val="000000"/>
        </w:rPr>
      </w:r>
    </w:p>
    <w:p>
      <w:pPr>
        <w:pStyle w:val="Normal"/>
        <w:jc w:val="both"/>
        <w:rPr>
          <w:color w:val="000000"/>
        </w:rPr>
      </w:pPr>
      <w:r>
        <w:rPr>
          <w:color w:val="000000"/>
        </w:rPr>
        <w:t xml:space="preserve">La documentazione completa è consultabile sul sito ufficiale del programma e in particolare al seguente link: </w:t>
      </w:r>
      <w:hyperlink r:id="rId2">
        <w:r>
          <w:rPr>
            <w:color w:val="1155CC"/>
            <w:u w:val="single"/>
          </w:rPr>
          <w:t>https://www.urban-initiative.eu/calls-proposals/fourth-call-proposals-innovative-actions</w:t>
        </w:r>
      </w:hyperlink>
      <w:r>
        <w:rPr>
          <w:color w:val="000000"/>
        </w:rPr>
        <w:t xml:space="preserve"> </w:t>
      </w:r>
    </w:p>
    <w:p>
      <w:pPr>
        <w:pStyle w:val="Normal"/>
        <w:jc w:val="both"/>
        <w:rPr>
          <w:color w:val="000000"/>
        </w:rPr>
      </w:pPr>
      <w:r>
        <w:rPr>
          <w:color w:val="000000"/>
        </w:rPr>
      </w:r>
    </w:p>
    <w:p>
      <w:pPr>
        <w:pStyle w:val="Normal"/>
        <w:jc w:val="both"/>
        <w:rPr>
          <w:b/>
          <w:bCs/>
        </w:rPr>
      </w:pPr>
      <w:r>
        <w:rPr>
          <w:b/>
          <w:bCs/>
        </w:rPr>
      </w:r>
    </w:p>
    <w:p>
      <w:pPr>
        <w:pStyle w:val="Normal"/>
        <w:jc w:val="both"/>
        <w:rPr>
          <w:b/>
          <w:bCs/>
          <w:color w:val="000000"/>
        </w:rPr>
      </w:pPr>
      <w:r>
        <w:rPr>
          <w:b/>
          <w:bCs/>
          <w:color w:val="000000"/>
        </w:rPr>
        <w:t xml:space="preserve">1.2  </w:t>
      </w:r>
      <w:r>
        <w:rPr>
          <w:b/>
          <w:bCs/>
        </w:rPr>
        <w:t>LA TEMATICA DI LAVORO</w:t>
      </w:r>
    </w:p>
    <w:p>
      <w:pPr>
        <w:pStyle w:val="Normal"/>
        <w:rPr>
          <w:b/>
          <w:bCs/>
          <w:color w:val="000000"/>
        </w:rPr>
      </w:pPr>
      <w:r>
        <w:rPr>
          <w:b/>
          <w:bCs/>
          <w:color w:val="000000"/>
        </w:rPr>
      </w:r>
    </w:p>
    <w:p>
      <w:pPr>
        <w:pStyle w:val="Normal"/>
        <w:jc w:val="both"/>
        <w:rPr>
          <w:b/>
          <w:color w:val="000000"/>
        </w:rPr>
      </w:pPr>
      <w:r>
        <w:rPr>
          <w:color w:val="000000"/>
        </w:rPr>
        <w:t xml:space="preserve">L’Amministrazione Comunale, in coerenza con le proprie le linee di mandato e con il Documento Unico di Programmazione 2025-2029 intende sviluppare e candidare un progetto a valere sul quarto bando EUI, nell’ambito della tematica </w:t>
      </w:r>
      <w:r>
        <w:rPr>
          <w:b/>
          <w:color w:val="000000"/>
        </w:rPr>
        <w:t>“COMPETITIVITÀ, DIGITALIZZAZIONE, INNOVAZIONE E INVESTIMENTI”.</w:t>
      </w:r>
    </w:p>
    <w:p>
      <w:pPr>
        <w:pStyle w:val="Normal"/>
        <w:jc w:val="both"/>
        <w:rPr>
          <w:color w:val="000000"/>
        </w:rPr>
      </w:pPr>
      <w:r>
        <w:rPr>
          <w:color w:val="000000"/>
        </w:rPr>
        <w:t>Tale priorità d’azione viene così declinata dal capitolato tecnico EUI:</w:t>
      </w:r>
    </w:p>
    <w:p>
      <w:pPr>
        <w:pStyle w:val="Normal"/>
        <w:jc w:val="both"/>
        <w:rPr>
          <w:color w:val="000000"/>
        </w:rPr>
      </w:pPr>
      <w:r>
        <w:rPr>
          <w:color w:val="000000"/>
        </w:rPr>
      </w:r>
    </w:p>
    <w:p>
      <w:pPr>
        <w:pStyle w:val="Normal"/>
        <w:jc w:val="both"/>
        <w:rPr>
          <w:color w:val="000000"/>
        </w:rPr>
      </w:pPr>
      <w:r>
        <w:rPr>
          <w:b/>
          <w:i/>
          <w:iCs/>
          <w:color w:val="000000"/>
        </w:rPr>
        <w:t>Le città sono luoghi dinamici e competitivi in cui l'innovazione e i progressi tecnologici sono stimolati dalla vicinanza dei portatori di interessi e dalla loro interazione multidisciplinare</w:t>
      </w:r>
      <w:r>
        <w:rPr>
          <w:i/>
          <w:iCs/>
          <w:color w:val="000000"/>
        </w:rPr>
        <w:t xml:space="preserve">. Sono calamite di talenti, fondamentali per la creazione di posti di lavoro e per l'accesso alle infrastrutture di ricerca e tecnologia. Nel 2024 il 45 % dei residenti delle città di età compresa tra i 25 e i 64 anni possedeva un titolo di studio universitario, rispetto al 31 % nei paesi/sobborghi e al 26 % nelle aree rurali. Le città ospitavano il 41 % della forza lavoro dell'UE, contro il 34,5 % dei paesi/sobborghi e il 24,5 % delle aree rurali. L'UE concentra la sua azione sul rafforzamento della competitività stimolando l'innovazione, l'adozione e l'ampliamento delle tecnologie strategiche, in linea con iniziative quali la Bussola per la competitività e il Patto per l'industria pulita. Le città possono rafforzare la domanda di tecnologie pulite e circolari prodotte nell'UE. </w:t>
      </w:r>
      <w:r>
        <w:rPr>
          <w:b/>
          <w:i/>
          <w:iCs/>
          <w:color w:val="000000"/>
        </w:rPr>
        <w:t>Svolgono un ruolo fondamentale nel promuovere lo sviluppo economico e agevolare i partenariati strategici con le industrie. Gli investimenti nell'istruzione e nello sviluppo delle competenze, comprese le competenze digitali e verdi nonché l'educazione all'imprenditorialità, sono fondamentali per soddisfare le richieste del mercato del lavoro e affrontare le disuguaglianze. Trarre il massimo vantaggio dalla ricerca e dall'innovazione può aiutare le città a sviluppare strategie per la resilienza economica.</w:t>
      </w:r>
      <w:r>
        <w:rPr>
          <w:i/>
          <w:iCs/>
          <w:color w:val="000000"/>
        </w:rPr>
        <w:t xml:space="preserve"> Anche il settore del turismo, che rappresenta il 7,1 % del valore aggiunto totale lordo, contribuisce in modo significativo all'economia dell'UE nonostante le sfide poste dalla gestione dei flussi turistici. </w:t>
      </w:r>
      <w:r>
        <w:rPr>
          <w:b/>
          <w:i/>
          <w:iCs/>
          <w:color w:val="000000"/>
        </w:rPr>
        <w:t xml:space="preserve">L'UE sostiene la transizione verso modelli e servizi turistici sostenibili e resilienti. La cultura, le industrie creative e i settori dello sport aumentano l'attrattiva delle città, ma creano anche posti di lavoro e stimolano la competitività e il benessere. Le città rivestono un ruolo centrale nello sviluppo e nella sperimentazione guidati dalla cultura, nonché nell'esplorazione di modelli di innovazione sociale ed economica. </w:t>
      </w:r>
      <w:r>
        <w:rPr>
          <w:i/>
          <w:iCs/>
          <w:color w:val="000000"/>
        </w:rPr>
        <w:t>La politica dell'UE in materia di digitalizzazione colma il divario digitale per rafforzare la produttività e la competitività. Supporta le città nell'individuazione delle lacune tecnologiche, nell'acquisizione strategica delle tecnologie adeguate, nell'individuazione delle priorità dei servizi, nello sviluppo delle competenze richieste, nell’esplorazione dei quadri normativi dell'UE e nel consentire alle autorità locali di adottare tecnologie avanzate. Le città svolgono un ruolo fondamentale nell'accelerare i progressi verso gli obiettivi e i traguardi del decennio digitale dell'UE e nel rendere più accessibili gli ecosistemi e le professioni digitali. Le iniziative di e-government sono fondamentali per ammodernare i servizi pubblici delle città e coinvolgere maggiormente i cittadini attraverso lo sviluppo di servizi digitali interoperabili, efficienti e incentrati sui cittadini.</w:t>
      </w:r>
    </w:p>
    <w:p>
      <w:pPr>
        <w:pStyle w:val="Normal"/>
        <w:rPr>
          <w:color w:val="000000"/>
        </w:rPr>
      </w:pPr>
      <w:r>
        <w:rPr>
          <w:color w:val="000000"/>
        </w:rPr>
      </w:r>
    </w:p>
    <w:p>
      <w:pPr>
        <w:pStyle w:val="Normal"/>
        <w:rPr>
          <w:color w:val="000000"/>
        </w:rPr>
      </w:pPr>
      <w:r>
        <w:rPr>
          <w:color w:val="000000"/>
        </w:rPr>
      </w:r>
    </w:p>
    <w:p>
      <w:pPr>
        <w:pStyle w:val="Heading1"/>
        <w:tabs>
          <w:tab w:val="clear" w:pos="709"/>
          <w:tab w:val="left" w:pos="796" w:leader="none"/>
        </w:tabs>
        <w:ind w:hanging="0" w:left="0"/>
        <w:rPr/>
      </w:pPr>
      <w:r>
        <w:rPr/>
        <w:t>1.3 L'IDEA PROGETTUALE</w:t>
      </w:r>
    </w:p>
    <w:p>
      <w:pPr>
        <w:pStyle w:val="Normal"/>
        <w:rPr/>
      </w:pPr>
      <w:r>
        <w:rPr/>
      </w:r>
    </w:p>
    <w:p>
      <w:pPr>
        <w:pStyle w:val="Normal"/>
        <w:tabs>
          <w:tab w:val="clear" w:pos="709"/>
          <w:tab w:val="left" w:pos="796" w:leader="none"/>
        </w:tabs>
        <w:jc w:val="both"/>
        <w:rPr>
          <w:color w:val="000000"/>
        </w:rPr>
      </w:pPr>
      <w:r>
        <w:rPr>
          <w:color w:val="000000"/>
        </w:rPr>
        <w:t xml:space="preserve">In linea con le cornici europee dell’agenda dell’UE per le città, la Bussola per la competitività e A Cultural Compass for Europe,  l Comune di Reggio Emilia ha avviato un percorso di co-progettazione in ambito di innovazione urbana e rigenerazione a base culturale, nel quale intende coinvolgere soggetti del territorio in qualità di possibili partner di progetto o stakeholder. Il percorso è volto a individuare un piano d'azione basato su soluzioni localmente innovative e competitive per rispondere alla frammentazione spaziale e sistemica che oggi caratterizza l'area delle Reggiane, del Parco Innovazione, della Stazione storica e dei quartieri limitrofi (Santa Croce, via Eritrea, piazzale Marconi, viale IV Novembre), nonché strutturare e promuovere l'area come distretto urbano coeso, attrattivo e capace di generare innovazione per gli attori che lo abitano e l’area di riferimento  innovazione diffusa. </w:t>
      </w:r>
    </w:p>
    <w:p>
      <w:pPr>
        <w:pStyle w:val="Normal"/>
        <w:overflowPunct w:val="true"/>
        <w:jc w:val="both"/>
        <w:rPr>
          <w:color w:val="000000"/>
        </w:rPr>
      </w:pPr>
      <w:r>
        <w:rPr>
          <w:color w:val="000000"/>
          <w:shd w:fill="auto" w:val="clear"/>
        </w:rPr>
        <w:t>L’idea progettuale oggetto del bando EUI e il sistema di azioni proposte si agganciano alla cornice più ampia di lavoro a cui l’Amministrazione sta lavorando – con procedure di coprogettazioni dedicate che coinvolgono ambiti educativi, di welfare e cultura nel quartiere, attivando presidi e sviluppando interventi che già coinvolgono diverse realtà culturali, educativi e sociali dell’area. In quest’ottica l’idea progettuale oggetto dell’avviso copre l’ambito di lavoro specifico dell’innovazione e della competitività che si pone come complementare per i diversi percorsi attivati.</w:t>
      </w:r>
    </w:p>
    <w:p>
      <w:pPr>
        <w:pStyle w:val="Normal"/>
        <w:tabs>
          <w:tab w:val="clear" w:pos="709"/>
          <w:tab w:val="left" w:pos="796" w:leader="none"/>
        </w:tabs>
        <w:spacing w:before="0" w:after="240"/>
        <w:jc w:val="both"/>
        <w:rPr>
          <w:color w:val="000000"/>
        </w:rPr>
      </w:pPr>
      <w:r>
        <w:rPr>
          <w:color w:val="000000"/>
        </w:rPr>
        <w:t xml:space="preserve">Con questo progetto nell'intento di superare la logica dei poli isolati e di attivare un ecosistema urbano dove competenze e saperi diversi possono contaminarsi e scambiarsi,  ci si propone di sperimentare e validare un modello di </w:t>
      </w:r>
      <w:r>
        <w:rPr>
          <w:i/>
          <w:iCs/>
          <w:color w:val="000000"/>
        </w:rPr>
        <w:t xml:space="preserve">distretto dell’innovazione diffusa, </w:t>
      </w:r>
      <w:r>
        <w:rPr>
          <w:color w:val="000000"/>
        </w:rPr>
        <w:t xml:space="preserve"> strettamente collegate al contesto dell’area oggetto dell’intervento. Il progetto intende far leva sulla cultura come infrastruttura abilitante e sulla prossimità tra imprese, istituzioni, ricerca e attori culturali, per attivare in modo strutturale processi di co-design di servizi e soluzioni per la competitività sociale, economica e culturale dell'area. La soluzione dovrà avere elementi di replicabilità ad altre realtà europee che condividono sfide analoghe.</w:t>
      </w:r>
    </w:p>
    <w:p>
      <w:pPr>
        <w:pStyle w:val="Normal"/>
        <w:tabs>
          <w:tab w:val="clear" w:pos="709"/>
          <w:tab w:val="left" w:pos="796" w:leader="none"/>
        </w:tabs>
        <w:spacing w:before="0" w:after="240"/>
        <w:jc w:val="both"/>
        <w:rPr>
          <w:color w:val="000000"/>
        </w:rPr>
      </w:pPr>
      <w:r>
        <w:rPr>
          <w:color w:val="000000"/>
        </w:rPr>
        <w:t>Il sistema proposto sarà sviluppato e testato attraverso la realizzazione delle seguenti macro-attività:</w:t>
      </w:r>
    </w:p>
    <w:p>
      <w:pPr>
        <w:pStyle w:val="Paragrafoelenco1"/>
        <w:numPr>
          <w:ilvl w:val="0"/>
          <w:numId w:val="2"/>
        </w:numPr>
        <w:tabs>
          <w:tab w:val="clear" w:pos="709"/>
          <w:tab w:val="left" w:pos="1516" w:leader="none"/>
        </w:tabs>
        <w:jc w:val="both"/>
        <w:rPr>
          <w:color w:val="000000"/>
        </w:rPr>
      </w:pPr>
      <w:r>
        <w:rPr>
          <w:color w:val="000000"/>
        </w:rPr>
        <w:t>Attivazione di laboratori per la  co-costruzione di immaginari futuri e percorsi laboratoriali per ridisegnare il paradigma dell'area, rivolti a lavoratori, studenti, residenti, artisti e nuove generazioni;</w:t>
      </w:r>
    </w:p>
    <w:p>
      <w:pPr>
        <w:pStyle w:val="Paragrafoelenco1"/>
        <w:numPr>
          <w:ilvl w:val="0"/>
          <w:numId w:val="2"/>
        </w:numPr>
        <w:tabs>
          <w:tab w:val="clear" w:pos="709"/>
          <w:tab w:val="left" w:pos="1516" w:leader="none"/>
        </w:tabs>
        <w:jc w:val="both"/>
        <w:rPr>
          <w:color w:val="000000"/>
        </w:rPr>
      </w:pPr>
      <w:r>
        <w:rPr>
          <w:color w:val="000000"/>
        </w:rPr>
        <w:t>Costituzione di un dispositivo multi-stakeholder che riunisca istituzioni e attori dell’area per la definizione condivisa di sfide e soluzioni;</w:t>
      </w:r>
    </w:p>
    <w:p>
      <w:pPr>
        <w:pStyle w:val="Paragrafoelenco1"/>
        <w:numPr>
          <w:ilvl w:val="0"/>
          <w:numId w:val="2"/>
        </w:numPr>
        <w:tabs>
          <w:tab w:val="clear" w:pos="709"/>
          <w:tab w:val="left" w:pos="1516" w:leader="none"/>
        </w:tabs>
        <w:jc w:val="both"/>
        <w:rPr>
          <w:color w:val="000000"/>
        </w:rPr>
      </w:pPr>
      <w:r>
        <w:rPr>
          <w:color w:val="000000"/>
        </w:rPr>
        <w:t xml:space="preserve">Percorsi di open innovation e accompagnamento multidisciplinare </w:t>
      </w:r>
      <w:r>
        <w:rPr>
          <w:i/>
          <w:iCs/>
          <w:color w:val="000000"/>
        </w:rPr>
        <w:t>a</w:t>
      </w:r>
      <w:r>
        <w:rPr>
          <w:color w:val="000000"/>
        </w:rPr>
        <w:t xml:space="preserve"> rivolti alle imprese e agli attori dell'area, con azioni di formazione e sviluppo di prodotti e servizi sperimentali (integrazione tech/cultura e impresa/welfare di comunità);</w:t>
      </w:r>
    </w:p>
    <w:p>
      <w:pPr>
        <w:pStyle w:val="Paragrafoelenco1"/>
        <w:numPr>
          <w:ilvl w:val="0"/>
          <w:numId w:val="2"/>
        </w:numPr>
        <w:tabs>
          <w:tab w:val="clear" w:pos="709"/>
          <w:tab w:val="left" w:pos="1516" w:leader="none"/>
        </w:tabs>
        <w:jc w:val="both"/>
        <w:rPr>
          <w:color w:val="000000"/>
        </w:rPr>
      </w:pPr>
      <w:r>
        <w:rPr>
          <w:color w:val="000000"/>
        </w:rPr>
        <w:t>Prototipazione e testing di servizi innovativi rivolti ad imprese e attori dell’area e sperimentazione in situ delle soluzioni selezionate;</w:t>
      </w:r>
    </w:p>
    <w:p>
      <w:pPr>
        <w:pStyle w:val="Paragrafoelenco1"/>
        <w:numPr>
          <w:ilvl w:val="0"/>
          <w:numId w:val="2"/>
        </w:numPr>
        <w:tabs>
          <w:tab w:val="clear" w:pos="709"/>
          <w:tab w:val="left" w:pos="1516" w:leader="none"/>
        </w:tabs>
        <w:jc w:val="both"/>
        <w:rPr>
          <w:color w:val="000000"/>
        </w:rPr>
      </w:pPr>
      <w:r>
        <w:rPr>
          <w:color w:val="000000"/>
        </w:rPr>
        <w:t>Sviluppo di interventi infrastrutturali leggeri per la connessione e l'attivazione dell'area per lavoratori, studenti, residenti e fruitori dell’area;</w:t>
      </w:r>
    </w:p>
    <w:p>
      <w:pPr>
        <w:pStyle w:val="Paragrafoelenco1"/>
        <w:numPr>
          <w:ilvl w:val="0"/>
          <w:numId w:val="2"/>
        </w:numPr>
        <w:tabs>
          <w:tab w:val="clear" w:pos="709"/>
          <w:tab w:val="left" w:pos="1516" w:leader="none"/>
        </w:tabs>
        <w:jc w:val="both"/>
        <w:rPr>
          <w:color w:val="000000"/>
        </w:rPr>
      </w:pPr>
      <w:r>
        <w:rPr>
          <w:color w:val="000000"/>
        </w:rPr>
        <w:t>Creazione di "stazioni" fisiche e virtuali, temporanee e permanenti, finalizzate a ridisegnare la mappa identitaria dell'area, promuovendone visibilità, attrattività e accessibilità;</w:t>
      </w:r>
    </w:p>
    <w:p>
      <w:pPr>
        <w:pStyle w:val="Paragrafoelenco1"/>
        <w:numPr>
          <w:ilvl w:val="0"/>
          <w:numId w:val="2"/>
        </w:numPr>
        <w:tabs>
          <w:tab w:val="clear" w:pos="709"/>
          <w:tab w:val="left" w:pos="1516" w:leader="none"/>
        </w:tabs>
        <w:jc w:val="both"/>
        <w:rPr/>
      </w:pPr>
      <w:r>
        <w:rPr>
          <w:color w:val="000000"/>
        </w:rPr>
        <w:t>Valutazione dell'impatto e analisi della trasferibilità del modello</w:t>
      </w:r>
    </w:p>
    <w:p>
      <w:pPr>
        <w:pStyle w:val="Paragrafoelenco1"/>
        <w:numPr>
          <w:ilvl w:val="0"/>
          <w:numId w:val="0"/>
        </w:numPr>
        <w:tabs>
          <w:tab w:val="clear" w:pos="709"/>
          <w:tab w:val="left" w:pos="1516" w:leader="none"/>
        </w:tabs>
        <w:ind w:hanging="0" w:left="360"/>
        <w:jc w:val="both"/>
        <w:rPr>
          <w:color w:val="000000"/>
        </w:rPr>
      </w:pPr>
      <w:r>
        <w:rPr>
          <w:color w:val="000000"/>
        </w:rPr>
      </w:r>
    </w:p>
    <w:p>
      <w:pPr>
        <w:pStyle w:val="Heading1"/>
        <w:numPr>
          <w:ilvl w:val="0"/>
          <w:numId w:val="1"/>
        </w:numPr>
        <w:tabs>
          <w:tab w:val="clear" w:pos="709"/>
          <w:tab w:val="left" w:pos="1144" w:leader="none"/>
        </w:tabs>
        <w:ind w:hanging="347" w:left="0"/>
        <w:rPr>
          <w:color w:val="000000"/>
        </w:rPr>
      </w:pPr>
      <w:r>
        <w:rPr/>
        <w:t>OGGETTO DELLA PROCEDURA: LA SELEZIONE DEI DELIVERY PARTNER</w:t>
      </w:r>
    </w:p>
    <w:p>
      <w:pPr>
        <w:pStyle w:val="Normal"/>
        <w:numPr>
          <w:ilvl w:val="1"/>
          <w:numId w:val="1"/>
        </w:numPr>
        <w:tabs>
          <w:tab w:val="clear" w:pos="709"/>
          <w:tab w:val="left" w:pos="796" w:leader="none"/>
        </w:tabs>
        <w:spacing w:before="240" w:after="240"/>
        <w:ind w:hanging="359" w:left="0"/>
        <w:jc w:val="both"/>
        <w:rPr>
          <w:b/>
          <w:bCs/>
          <w:color w:val="000000"/>
        </w:rPr>
      </w:pPr>
      <w:r>
        <w:rPr>
          <w:b/>
          <w:bCs/>
          <w:color w:val="000000"/>
          <w:u w:val="single"/>
        </w:rPr>
        <w:t>LINEE D’INDIRIZZO PER LA COSTRUZIONE DEL PARTENARIATO</w:t>
      </w:r>
    </w:p>
    <w:p>
      <w:pPr>
        <w:pStyle w:val="Normal"/>
        <w:rPr>
          <w:b/>
          <w:bCs/>
          <w:color w:val="000000"/>
        </w:rPr>
      </w:pPr>
      <w:r>
        <w:rPr>
          <w:b/>
          <w:bCs/>
          <w:color w:val="000000"/>
        </w:rPr>
      </w:r>
    </w:p>
    <w:p>
      <w:pPr>
        <w:pStyle w:val="Normal"/>
        <w:ind w:firstLine="360"/>
        <w:jc w:val="both"/>
        <w:rPr>
          <w:color w:val="000000"/>
        </w:rPr>
      </w:pPr>
      <w:r>
        <w:rPr>
          <w:color w:val="000000"/>
        </w:rPr>
        <w:t xml:space="preserve">In linea con quanto previsto dal Bando EUI e dall’Articolo 2 dell’Atto Delegato, il Comune di </w:t>
      </w:r>
      <w:r>
        <w:rPr/>
        <w:t xml:space="preserve">Reggio Emilia </w:t>
      </w:r>
      <w:r>
        <w:rPr>
          <w:color w:val="000000"/>
        </w:rPr>
        <w:t>si propone come autorità urbana capofila di progetto e intende creare un partenariato locale solido che raggruppi soggetti partner tra loro complementari che concorrano alla definizione, progettazione, candidatura, realizzazione e co-finanziamento del progetto.</w:t>
      </w:r>
    </w:p>
    <w:p>
      <w:pPr>
        <w:pStyle w:val="Normal"/>
        <w:jc w:val="both"/>
        <w:rPr>
          <w:color w:val="000000"/>
        </w:rPr>
      </w:pPr>
      <w:r>
        <w:rPr>
          <w:color w:val="000000"/>
        </w:rPr>
        <w:t xml:space="preserve">Nell’ambito del costituendo partenariato il ruolo del Comune di </w:t>
      </w:r>
      <w:r>
        <w:rPr/>
        <w:t xml:space="preserve">Reggio Emilia </w:t>
      </w:r>
      <w:r>
        <w:rPr>
          <w:color w:val="000000"/>
        </w:rPr>
        <w:t>in qualità di Autorità Urbana (AUP) sarà quello di ente responsabile della realizzazione e della gestione dell’intero progetto. L’AUP firma la Convenzione di attribuzione del contributo con l’Entità delegata e riceve il contributo FESR da distribuire agli altri partner (AUA e/o Delivery partner) a seconda dei loro specifici ruoli e responsabilità (e del relativo budget).</w:t>
      </w:r>
    </w:p>
    <w:p>
      <w:pPr>
        <w:pStyle w:val="Normal"/>
        <w:ind w:firstLine="708"/>
        <w:jc w:val="both"/>
        <w:rPr>
          <w:color w:val="000000"/>
        </w:rPr>
      </w:pPr>
      <w:r>
        <w:rPr>
          <w:color w:val="000000"/>
        </w:rPr>
        <w:t xml:space="preserve">Il Comune intende individuare un partenariato al con un numero massimo di 6 soggetti in qualità di “delivery partner”, che desiderino partecipare al progetto in logica collaborativa e che con l’amministrazione comunale assumano la sfida della competitività, digitalizzazione, innovazione e investimenti. Il partenariato dovrà vedere la presenza di competenze diverse, afferenti all’ambito della cultura, dell’innovazione, della ricerca, includendo esperienze del pubblico,del privato che del terzo settore. </w:t>
      </w:r>
    </w:p>
    <w:p>
      <w:pPr>
        <w:pStyle w:val="Normal"/>
        <w:jc w:val="both"/>
        <w:rPr>
          <w:color w:val="000000"/>
        </w:rPr>
      </w:pPr>
      <w:r>
        <w:rPr>
          <w:color w:val="000000"/>
        </w:rPr>
        <w:t>I partner dovranno essere portatori di esperienze altamente innovative e/o disponibili a sviluppare azioni nuove, da portare a sistema in una proposta strutturata e organica, nonché coerente con le tipologie di azioni definite dal bando.</w:t>
      </w:r>
    </w:p>
    <w:p>
      <w:pPr>
        <w:pStyle w:val="Normal"/>
        <w:jc w:val="both"/>
        <w:rPr>
          <w:color w:val="000000"/>
        </w:rPr>
      </w:pPr>
      <w:r>
        <w:rPr>
          <w:color w:val="000000"/>
        </w:rPr>
        <w:t>L’Amministrazione comunale intende procedere alla costruzione del partenariato nel rispetto dei principi di trasparenza ed evidenza pubblica del processo e individuare soggetti che rispettino i requisiti richiesti dal bando; successivamente l’amministrazione intende procedere alla definizione della proposta ispirandosi alla modalità della co-progettazione nel segno della sussidiarietà orizzontale.</w:t>
      </w:r>
    </w:p>
    <w:p>
      <w:pPr>
        <w:pStyle w:val="Normal"/>
        <w:jc w:val="both"/>
        <w:rPr>
          <w:color w:val="000000"/>
        </w:rPr>
      </w:pPr>
      <w:r>
        <w:rPr>
          <w:color w:val="000000"/>
        </w:rPr>
        <w:t>I delivery partner saranno parte attiva della definizione del progetto finale proposto, nell’ambito del quale si impegneranno a realizzare e co-finanziare azioni specifiche.</w:t>
      </w:r>
    </w:p>
    <w:p>
      <w:pPr>
        <w:pStyle w:val="Normal"/>
        <w:jc w:val="both"/>
        <w:rPr>
          <w:color w:val="000000"/>
          <w:u w:val="single"/>
        </w:rPr>
      </w:pPr>
      <w:r>
        <w:rPr>
          <w:color w:val="000000"/>
        </w:rPr>
        <w:t xml:space="preserve">L’Amministrazione comunale ritiene opportuno procedere ad avviso pubblico per l’individuazione dei delivery partner, che </w:t>
      </w:r>
      <w:r>
        <w:rPr>
          <w:color w:val="000000"/>
          <w:u w:val="single"/>
        </w:rPr>
        <w:t>non si configura come indagine di mercato</w:t>
      </w:r>
      <w:r>
        <w:rPr>
          <w:color w:val="000000"/>
        </w:rPr>
        <w:t xml:space="preserve">, avendo unicamente lo scopo di individuare possibili partner di progetto, favorendo la più ampia partecipazione da parte di soggetti pubblici e privati, secondo la logica dell’EUI; il presente avviso </w:t>
      </w:r>
      <w:r>
        <w:rPr>
          <w:color w:val="000000"/>
          <w:u w:val="single"/>
        </w:rPr>
        <w:t>non costituisce neppure un invito a presentare</w:t>
      </w:r>
      <w:r>
        <w:rPr>
          <w:color w:val="000000"/>
        </w:rPr>
        <w:t xml:space="preserve"> </w:t>
      </w:r>
      <w:r>
        <w:rPr>
          <w:color w:val="000000"/>
          <w:u w:val="single"/>
        </w:rPr>
        <w:t>offerte al pubblico ex art. 1336 c.c. o promessa al pubblico ex art. 1989 c.c.</w:t>
      </w:r>
    </w:p>
    <w:p>
      <w:pPr>
        <w:pStyle w:val="Normal"/>
        <w:ind w:firstLine="360"/>
        <w:jc w:val="both"/>
        <w:rPr>
          <w:color w:val="000000"/>
        </w:rPr>
      </w:pPr>
      <w:r>
        <w:rPr>
          <w:color w:val="000000"/>
        </w:rPr>
        <w:t>Con la presentazione della manifestazione di interesse i proponenti, se selezionati, si impegnano a partecipare al partenariato, come previsto dal citato Bando, insieme agli ulteriori soggetti selezionati.</w:t>
      </w:r>
    </w:p>
    <w:p>
      <w:pPr>
        <w:pStyle w:val="Normal"/>
        <w:ind w:firstLine="360"/>
        <w:jc w:val="both"/>
        <w:rPr>
          <w:color w:val="000000"/>
        </w:rPr>
      </w:pPr>
      <w:r>
        <w:rPr>
          <w:color w:val="000000"/>
        </w:rPr>
        <w:t>Oltre al gruppo di “Delivery partner” da selezionare attraverso il presente avviso, si identificherà un gruppo più ampio dei soggetti interessati (stakeholder), che concorrerà all’efficace realizzazione del progetto.</w:t>
      </w:r>
    </w:p>
    <w:p>
      <w:pPr>
        <w:pStyle w:val="Normal"/>
        <w:ind w:firstLine="360"/>
        <w:jc w:val="both"/>
        <w:rPr>
          <w:b/>
          <w:bCs/>
          <w:color w:val="000000"/>
          <w:u w:val="single"/>
        </w:rPr>
      </w:pPr>
      <w:r>
        <w:rPr>
          <w:color w:val="000000"/>
        </w:rPr>
        <w:t xml:space="preserve">I restanti proponenti non selezionati potranno aderire alla proposta come stakeholder: l’Amministrazione comunale, se non valuterà un proponente o una proposta idonea, potrà proporre al candidato altre forme di partecipazione in qualità di </w:t>
      </w:r>
      <w:r>
        <w:rPr>
          <w:i/>
          <w:iCs/>
          <w:color w:val="000000"/>
        </w:rPr>
        <w:t>stakeholder</w:t>
      </w:r>
      <w:r>
        <w:rPr>
          <w:color w:val="000000"/>
        </w:rPr>
        <w:t>. In questo caso il soggetto proponente potrà accettare o rifiutare la proposta dell’Amministrazione.</w:t>
      </w:r>
    </w:p>
    <w:p>
      <w:pPr>
        <w:pStyle w:val="Normal"/>
        <w:numPr>
          <w:ilvl w:val="1"/>
          <w:numId w:val="1"/>
        </w:numPr>
        <w:tabs>
          <w:tab w:val="clear" w:pos="709"/>
          <w:tab w:val="left" w:pos="796" w:leader="none"/>
        </w:tabs>
        <w:spacing w:before="240" w:after="240"/>
        <w:ind w:hanging="359" w:left="0"/>
        <w:jc w:val="both"/>
        <w:rPr>
          <w:color w:val="000000"/>
        </w:rPr>
      </w:pPr>
      <w:r>
        <w:rPr>
          <w:b/>
          <w:bCs/>
          <w:color w:val="000000"/>
          <w:u w:val="single"/>
        </w:rPr>
        <w:t>SOGGETTI AMMISSIBILI</w:t>
      </w:r>
    </w:p>
    <w:p>
      <w:pPr>
        <w:pStyle w:val="Normal"/>
        <w:spacing w:lineRule="auto" w:line="252"/>
        <w:jc w:val="both"/>
        <w:rPr>
          <w:color w:val="000000"/>
        </w:rPr>
      </w:pPr>
      <w:r>
        <w:rPr>
          <w:color w:val="000000"/>
        </w:rPr>
        <w:t>L’ammissibilità dei singoli soggetti verrà verificata in base a quanto stabilito dal bando EUI. ai sensi dell’art.</w:t>
      </w:r>
      <w:r>
        <w:rPr/>
        <w:t xml:space="preserve">6.1 </w:t>
      </w:r>
      <w:r>
        <w:rPr>
          <w:color w:val="000000"/>
        </w:rPr>
        <w:t>del Bando: tutti i partner devono appartenere all'UE e devono essere organizzazioni dotate di soggettività giuridica. Il gruppo dei Delivery partner potrà comprendere:</w:t>
      </w:r>
    </w:p>
    <w:p>
      <w:pPr>
        <w:pStyle w:val="Normal"/>
        <w:spacing w:lineRule="auto" w:line="252"/>
        <w:jc w:val="both"/>
        <w:rPr>
          <w:color w:val="000000"/>
        </w:rPr>
      </w:pPr>
      <w:r>
        <w:rPr>
          <w:color w:val="000000"/>
        </w:rPr>
      </w:r>
    </w:p>
    <w:p>
      <w:pPr>
        <w:pStyle w:val="Normal"/>
        <w:spacing w:lineRule="auto" w:line="252"/>
        <w:jc w:val="both"/>
        <w:rPr>
          <w:color w:val="000000"/>
        </w:rPr>
      </w:pPr>
      <w:r>
        <w:rPr>
          <w:color w:val="000000"/>
        </w:rPr>
        <w:t>Selezionare dal menù a tendina</w:t>
      </w:r>
    </w:p>
    <w:p>
      <w:pPr>
        <w:pStyle w:val="Normal"/>
        <w:spacing w:lineRule="auto" w:line="252"/>
        <w:jc w:val="both"/>
        <w:rPr>
          <w:color w:val="000000"/>
        </w:rPr>
      </w:pPr>
      <w:r>
        <w:rPr>
          <w:color w:val="000000"/>
        </w:rPr>
        <w:t>●</w:t>
      </w:r>
      <w:r>
        <w:rPr>
          <w:color w:val="000000"/>
        </w:rPr>
        <w:tab/>
        <w:t>Ente pubblico locale</w:t>
      </w:r>
    </w:p>
    <w:p>
      <w:pPr>
        <w:pStyle w:val="Normal"/>
        <w:spacing w:lineRule="auto" w:line="252"/>
        <w:jc w:val="both"/>
        <w:rPr>
          <w:color w:val="000000"/>
        </w:rPr>
      </w:pPr>
      <w:r>
        <w:rPr>
          <w:color w:val="000000"/>
        </w:rPr>
        <w:t>●</w:t>
      </w:r>
      <w:r>
        <w:rPr>
          <w:color w:val="000000"/>
        </w:rPr>
        <w:tab/>
        <w:t>Ente pubblico regionale</w:t>
      </w:r>
    </w:p>
    <w:p>
      <w:pPr>
        <w:pStyle w:val="Normal"/>
        <w:spacing w:lineRule="auto" w:line="252"/>
        <w:jc w:val="both"/>
        <w:rPr>
          <w:color w:val="000000"/>
        </w:rPr>
      </w:pPr>
      <w:r>
        <w:rPr>
          <w:color w:val="000000"/>
        </w:rPr>
        <w:t>●</w:t>
      </w:r>
      <w:r>
        <w:rPr>
          <w:color w:val="000000"/>
        </w:rPr>
        <w:tab/>
        <w:t>Ente pubblico nazionale</w:t>
      </w:r>
    </w:p>
    <w:p>
      <w:pPr>
        <w:pStyle w:val="Normal"/>
        <w:spacing w:lineRule="auto" w:line="252"/>
        <w:jc w:val="both"/>
        <w:rPr>
          <w:color w:val="000000"/>
        </w:rPr>
      </w:pPr>
      <w:r>
        <w:rPr>
          <w:color w:val="000000"/>
        </w:rPr>
        <w:t>●</w:t>
      </w:r>
      <w:r>
        <w:rPr>
          <w:color w:val="000000"/>
        </w:rPr>
        <w:tab/>
        <w:t>Fondazione</w:t>
      </w:r>
    </w:p>
    <w:p>
      <w:pPr>
        <w:pStyle w:val="Normal"/>
        <w:spacing w:lineRule="auto" w:line="252"/>
        <w:jc w:val="both"/>
        <w:rPr>
          <w:color w:val="000000"/>
        </w:rPr>
      </w:pPr>
      <w:r>
        <w:rPr>
          <w:color w:val="000000"/>
        </w:rPr>
        <w:t>●</w:t>
      </w:r>
      <w:r>
        <w:rPr>
          <w:color w:val="000000"/>
        </w:rPr>
        <w:tab/>
        <w:t>Ente partecipato/controllato dal Comune</w:t>
      </w:r>
    </w:p>
    <w:p>
      <w:pPr>
        <w:pStyle w:val="Normal"/>
        <w:spacing w:lineRule="auto" w:line="252"/>
        <w:jc w:val="both"/>
        <w:rPr>
          <w:color w:val="000000"/>
        </w:rPr>
      </w:pPr>
      <w:r>
        <w:rPr>
          <w:color w:val="000000"/>
        </w:rPr>
        <w:t>●</w:t>
      </w:r>
      <w:r>
        <w:rPr>
          <w:color w:val="000000"/>
        </w:rPr>
        <w:tab/>
        <w:t>Agenzie di settore</w:t>
      </w:r>
    </w:p>
    <w:p>
      <w:pPr>
        <w:pStyle w:val="Normal"/>
        <w:spacing w:lineRule="auto" w:line="252"/>
        <w:jc w:val="both"/>
        <w:rPr>
          <w:color w:val="000000"/>
        </w:rPr>
      </w:pPr>
      <w:r>
        <w:rPr>
          <w:color w:val="000000"/>
        </w:rPr>
        <w:t>●</w:t>
      </w:r>
      <w:r>
        <w:rPr>
          <w:color w:val="000000"/>
        </w:rPr>
        <w:tab/>
        <w:t>Fornitori di infrastrutture e servizi (pubblici)</w:t>
      </w:r>
    </w:p>
    <w:p>
      <w:pPr>
        <w:pStyle w:val="Normal"/>
        <w:spacing w:lineRule="auto" w:line="252"/>
        <w:jc w:val="both"/>
        <w:rPr>
          <w:color w:val="000000"/>
        </w:rPr>
      </w:pPr>
      <w:r>
        <w:rPr>
          <w:color w:val="000000"/>
        </w:rPr>
        <w:t>●</w:t>
      </w:r>
      <w:r>
        <w:rPr>
          <w:color w:val="000000"/>
        </w:rPr>
        <w:tab/>
        <w:t>Gruppi di interesse incluse ONG</w:t>
      </w:r>
    </w:p>
    <w:p>
      <w:pPr>
        <w:pStyle w:val="Normal"/>
        <w:spacing w:lineRule="auto" w:line="252"/>
        <w:jc w:val="both"/>
        <w:rPr>
          <w:color w:val="000000"/>
        </w:rPr>
      </w:pPr>
      <w:r>
        <w:rPr>
          <w:color w:val="000000"/>
        </w:rPr>
        <w:t>●</w:t>
      </w:r>
      <w:r>
        <w:rPr>
          <w:color w:val="000000"/>
        </w:rPr>
        <w:tab/>
        <w:t>Università, Istituzioni di istruzione superiore e di ricerca</w:t>
      </w:r>
    </w:p>
    <w:p>
      <w:pPr>
        <w:pStyle w:val="Normal"/>
        <w:spacing w:lineRule="auto" w:line="252"/>
        <w:jc w:val="both"/>
        <w:rPr>
          <w:color w:val="000000"/>
        </w:rPr>
      </w:pPr>
      <w:r>
        <w:rPr>
          <w:color w:val="000000"/>
        </w:rPr>
        <w:t>●</w:t>
      </w:r>
      <w:r>
        <w:rPr>
          <w:color w:val="000000"/>
        </w:rPr>
        <w:tab/>
        <w:t>Centri e scuole di educazione/formazione</w:t>
      </w:r>
    </w:p>
    <w:p>
      <w:pPr>
        <w:pStyle w:val="Normal"/>
        <w:spacing w:lineRule="auto" w:line="252"/>
        <w:jc w:val="both"/>
        <w:rPr>
          <w:color w:val="000000"/>
        </w:rPr>
      </w:pPr>
      <w:r>
        <w:rPr>
          <w:color w:val="000000"/>
        </w:rPr>
        <w:t>●</w:t>
      </w:r>
      <w:r>
        <w:rPr>
          <w:color w:val="000000"/>
        </w:rPr>
        <w:tab/>
        <w:t>Imprese (escluse PMI)</w:t>
      </w:r>
    </w:p>
    <w:p>
      <w:pPr>
        <w:pStyle w:val="Normal"/>
        <w:spacing w:lineRule="auto" w:line="252"/>
        <w:jc w:val="both"/>
        <w:rPr>
          <w:color w:val="000000"/>
        </w:rPr>
      </w:pPr>
      <w:r>
        <w:rPr>
          <w:color w:val="000000"/>
        </w:rPr>
        <w:t>●</w:t>
      </w:r>
      <w:r>
        <w:rPr>
          <w:color w:val="000000"/>
        </w:rPr>
        <w:tab/>
        <w:t>PMI</w:t>
      </w:r>
    </w:p>
    <w:p>
      <w:pPr>
        <w:pStyle w:val="Normal"/>
        <w:spacing w:lineRule="auto" w:line="252"/>
        <w:jc w:val="both"/>
        <w:rPr>
          <w:color w:val="000000"/>
        </w:rPr>
      </w:pPr>
      <w:r>
        <w:rPr>
          <w:color w:val="000000"/>
        </w:rPr>
        <w:t>●</w:t>
      </w:r>
      <w:r>
        <w:rPr>
          <w:color w:val="000000"/>
        </w:rPr>
        <w:tab/>
        <w:t>Cooperativa o Consorzio di cooperative</w:t>
      </w:r>
    </w:p>
    <w:p>
      <w:pPr>
        <w:pStyle w:val="Normal"/>
        <w:spacing w:lineRule="auto" w:line="252"/>
        <w:jc w:val="both"/>
        <w:rPr>
          <w:color w:val="000000"/>
        </w:rPr>
      </w:pPr>
      <w:r>
        <w:rPr>
          <w:color w:val="000000"/>
        </w:rPr>
        <w:t>●</w:t>
      </w:r>
      <w:r>
        <w:rPr>
          <w:color w:val="000000"/>
        </w:rPr>
        <w:tab/>
        <w:t>Associazioni economiche di categoria</w:t>
      </w:r>
    </w:p>
    <w:p>
      <w:pPr>
        <w:pStyle w:val="Normal"/>
        <w:spacing w:lineRule="auto" w:line="252"/>
        <w:jc w:val="both"/>
        <w:rPr>
          <w:color w:val="000000"/>
        </w:rPr>
      </w:pPr>
      <w:r>
        <w:rPr>
          <w:color w:val="000000"/>
        </w:rPr>
        <w:t>●</w:t>
      </w:r>
      <w:r>
        <w:rPr>
          <w:color w:val="000000"/>
        </w:rPr>
        <w:tab/>
        <w:t>EGCT (Gruppo europeo di cooperazione territoriale)</w:t>
      </w:r>
    </w:p>
    <w:p>
      <w:pPr>
        <w:pStyle w:val="Normal"/>
        <w:spacing w:lineRule="auto" w:line="252"/>
        <w:jc w:val="both"/>
        <w:rPr>
          <w:color w:val="000000"/>
        </w:rPr>
      </w:pPr>
      <w:r>
        <w:rPr>
          <w:color w:val="000000"/>
        </w:rPr>
        <w:t>●</w:t>
      </w:r>
      <w:r>
        <w:rPr>
          <w:color w:val="000000"/>
        </w:rPr>
        <w:tab/>
        <w:t>Organizzazioni internazionali, gruppo europeo di interesse economico</w:t>
      </w:r>
    </w:p>
    <w:p>
      <w:pPr>
        <w:pStyle w:val="Normal"/>
        <w:spacing w:lineRule="auto" w:line="252"/>
        <w:jc w:val="both"/>
        <w:rPr>
          <w:color w:val="000000"/>
        </w:rPr>
      </w:pPr>
      <w:r>
        <w:rPr>
          <w:color w:val="000000"/>
        </w:rPr>
        <w:t>●</w:t>
      </w:r>
      <w:r>
        <w:rPr>
          <w:color w:val="000000"/>
        </w:rPr>
        <w:tab/>
        <w:t>Ospedali e Centri Medici</w:t>
      </w:r>
    </w:p>
    <w:p>
      <w:pPr>
        <w:pStyle w:val="Normal"/>
        <w:spacing w:lineRule="auto" w:line="252"/>
        <w:jc w:val="both"/>
        <w:rPr>
          <w:color w:val="000000"/>
        </w:rPr>
      </w:pPr>
      <w:r>
        <w:rPr>
          <w:color w:val="000000"/>
        </w:rPr>
        <w:t>●</w:t>
      </w:r>
      <w:r>
        <w:rPr>
          <w:color w:val="000000"/>
        </w:rPr>
        <w:tab/>
        <w:t>Altro (specificare e descrivere nella casella sottostante descrizione partner)"</w:t>
      </w:r>
    </w:p>
    <w:p>
      <w:pPr>
        <w:pStyle w:val="Normal"/>
        <w:spacing w:lineRule="auto" w:line="252"/>
        <w:jc w:val="both"/>
        <w:rPr>
          <w:color w:val="000000"/>
        </w:rPr>
      </w:pPr>
      <w:r>
        <w:rPr>
          <w:color w:val="000000"/>
        </w:rPr>
      </w:r>
    </w:p>
    <w:p>
      <w:pPr>
        <w:pStyle w:val="Normal"/>
        <w:widowControl/>
        <w:tabs>
          <w:tab w:val="clear" w:pos="709"/>
          <w:tab w:val="left" w:pos="810" w:leader="none"/>
        </w:tabs>
        <w:suppressAutoHyphens w:val="true"/>
        <w:bidi w:val="0"/>
        <w:spacing w:lineRule="auto" w:line="240" w:before="62" w:after="0"/>
        <w:jc w:val="left"/>
        <w:rPr>
          <w:color w:val="C9211E"/>
          <w:shd w:fill="FFD966" w:val="clear"/>
        </w:rPr>
      </w:pPr>
      <w:r>
        <w:rPr>
          <w:color w:val="C9211E"/>
          <w:shd w:fill="FFD966" w:val="clear"/>
        </w:rPr>
      </w:r>
    </w:p>
    <w:p>
      <w:pPr>
        <w:pStyle w:val="Normal"/>
        <w:tabs>
          <w:tab w:val="clear" w:pos="709"/>
          <w:tab w:val="left" w:pos="878" w:leader="none"/>
        </w:tabs>
        <w:jc w:val="both"/>
        <w:rPr>
          <w:color w:val="000000"/>
          <w:shd w:fill="FFD966" w:val="clear"/>
        </w:rPr>
      </w:pPr>
      <w:r>
        <w:rPr>
          <w:color w:val="000000"/>
          <w:shd w:fill="FFD966" w:val="clear"/>
        </w:rPr>
      </w:r>
    </w:p>
    <w:p>
      <w:pPr>
        <w:pStyle w:val="Normal"/>
        <w:jc w:val="both"/>
        <w:rPr>
          <w:color w:val="000000"/>
        </w:rPr>
      </w:pPr>
      <w:r>
        <w:rPr>
          <w:color w:val="000000"/>
        </w:rPr>
        <w:t>Viene stabilito dal bando EUI che le società di consulenza, il cui oggetto sociale principale sia lo sviluppo e gestione di progetti europei, non hanno diritto di partecipare al progetto in qualità di Delivery partner.</w:t>
      </w:r>
    </w:p>
    <w:p>
      <w:pPr>
        <w:pStyle w:val="Normal"/>
        <w:jc w:val="both"/>
        <w:rPr>
          <w:color w:val="000000"/>
        </w:rPr>
      </w:pPr>
      <w:r>
        <w:rPr>
          <w:color w:val="000000"/>
        </w:rPr>
        <w:t xml:space="preserve">Per l’ammissibilità alla valutazione il Comune di </w:t>
      </w:r>
      <w:r>
        <w:rPr/>
        <w:t xml:space="preserve">Reggio Emilia </w:t>
      </w:r>
      <w:r>
        <w:rPr>
          <w:color w:val="000000"/>
        </w:rPr>
        <w:t>adotta per analogia le cause di esclusione dalla partecipazione a una procedura d’appalto o concessione di cui all’art. 94 e art. 95 del Decreto Legislativo 36/2023 e i casi di incompatibilità o conflitto di interessi previsti dalla normativa vigente.</w:t>
      </w:r>
    </w:p>
    <w:p>
      <w:pPr>
        <w:pStyle w:val="Normal"/>
        <w:jc w:val="both"/>
        <w:rPr>
          <w:color w:val="000000"/>
        </w:rPr>
      </w:pPr>
      <w:r>
        <w:rPr>
          <w:color w:val="000000"/>
        </w:rPr>
        <w:t xml:space="preserve">Pertanto i soggetti candidati saranno ammessi a valutazione qualora nei termini previsti dal presente avviso non incorrano in nessuna di tali cause di esclusione e in condizione di incompatibilità. Tali condizioni andranno dichiarate ai sensi del DPR445/2000 nella manifestazione di interesse </w:t>
      </w:r>
      <w:r>
        <w:rPr>
          <w:b/>
          <w:bCs/>
          <w:color w:val="000000"/>
        </w:rPr>
        <w:t>presentata secondo le modalità indicate nel presente avviso.</w:t>
      </w:r>
    </w:p>
    <w:p>
      <w:pPr>
        <w:pStyle w:val="Normal"/>
        <w:jc w:val="both"/>
        <w:rPr>
          <w:color w:val="000000"/>
        </w:rPr>
      </w:pPr>
      <w:r>
        <w:rPr>
          <w:color w:val="000000"/>
        </w:rPr>
        <w:t xml:space="preserve">Inoltre, i soggetti destinatari devono risultare in possesso, pena la non ammissibilità dei seguenti ulteriori requisiti, comprovati a mezzo di autodichiarazione: </w:t>
      </w:r>
    </w:p>
    <w:p>
      <w:pPr>
        <w:pStyle w:val="Normal"/>
        <w:widowControl/>
        <w:numPr>
          <w:ilvl w:val="0"/>
          <w:numId w:val="6"/>
        </w:numPr>
        <w:suppressAutoHyphens w:val="true"/>
        <w:bidi w:val="0"/>
        <w:spacing w:before="0" w:after="0"/>
        <w:jc w:val="both"/>
        <w:rPr>
          <w:b w:val="false"/>
          <w:bCs w:val="false"/>
          <w:color w:val="000000"/>
        </w:rPr>
      </w:pPr>
      <w:r>
        <w:rPr>
          <w:rFonts w:eastAsia="NSimSun" w:cs="Arial Unicode MS"/>
          <w:b w:val="false"/>
          <w:bCs w:val="false"/>
          <w:color w:val="000000"/>
          <w:lang w:eastAsia="zh-CN" w:bidi="hi-IN"/>
        </w:rPr>
        <w:t>essere nel pieno e libero esercizio dei propri diritti, non in liquidazione volontaria e non sottoposti a procedure concorsuali;</w:t>
      </w:r>
    </w:p>
    <w:p>
      <w:pPr>
        <w:pStyle w:val="Normal"/>
        <w:numPr>
          <w:ilvl w:val="0"/>
          <w:numId w:val="6"/>
        </w:numPr>
        <w:tabs>
          <w:tab w:val="clear" w:pos="709"/>
          <w:tab w:val="left" w:pos="740" w:leader="none"/>
        </w:tabs>
        <w:jc w:val="both"/>
        <w:rPr>
          <w:b w:val="false"/>
          <w:bCs w:val="false"/>
          <w:color w:val="000000"/>
        </w:rPr>
      </w:pPr>
      <w:r>
        <w:rPr>
          <w:rFonts w:eastAsia="NSimSun" w:cs="Arial Unicode MS"/>
          <w:b w:val="false"/>
          <w:bCs w:val="false"/>
          <w:color w:val="000000"/>
          <w:lang w:eastAsia="zh-CN" w:bidi="hi-IN"/>
        </w:rPr>
        <w:t>possedere personalità giuridica;</w:t>
      </w:r>
    </w:p>
    <w:p>
      <w:pPr>
        <w:pStyle w:val="Normal"/>
        <w:numPr>
          <w:ilvl w:val="0"/>
          <w:numId w:val="6"/>
        </w:numPr>
        <w:tabs>
          <w:tab w:val="clear" w:pos="709"/>
          <w:tab w:val="left" w:pos="740" w:leader="none"/>
        </w:tabs>
        <w:jc w:val="both"/>
        <w:rPr>
          <w:b w:val="false"/>
          <w:bCs w:val="false"/>
          <w:color w:val="000000"/>
        </w:rPr>
      </w:pPr>
      <w:r>
        <w:rPr>
          <w:rFonts w:eastAsia="NSimSun" w:cs="Arial Unicode MS"/>
          <w:b w:val="false"/>
          <w:bCs w:val="false"/>
          <w:color w:val="000000"/>
          <w:lang w:eastAsia="zh-CN" w:bidi="hi-IN"/>
        </w:rPr>
        <w:t xml:space="preserve">di non trovarsi in nessuna delle cause di esclusione  dalla partecipazione alle gare  ai sensi dell’art 94 commi 1,2,5,6 e dell’art 95 del Dlgs 36/2023 </w:t>
      </w:r>
    </w:p>
    <w:p>
      <w:pPr>
        <w:pStyle w:val="Normal"/>
        <w:numPr>
          <w:ilvl w:val="0"/>
          <w:numId w:val="6"/>
        </w:numPr>
        <w:tabs>
          <w:tab w:val="clear" w:pos="709"/>
          <w:tab w:val="left" w:pos="683" w:leader="none"/>
        </w:tabs>
        <w:jc w:val="both"/>
        <w:rPr>
          <w:b w:val="false"/>
          <w:bCs w:val="false"/>
          <w:color w:val="000000"/>
        </w:rPr>
      </w:pPr>
      <w:r>
        <w:rPr>
          <w:rFonts w:eastAsia="NSimSun" w:cs="Arial Unicode MS"/>
          <w:b w:val="false"/>
          <w:bCs w:val="false"/>
          <w:color w:val="000000"/>
          <w:lang w:eastAsia="zh-CN" w:bidi="hi-IN"/>
        </w:rPr>
        <w:t>essere in regola con gli obblighi contributivi risultante del DURC;</w:t>
      </w:r>
    </w:p>
    <w:p>
      <w:pPr>
        <w:pStyle w:val="Normal"/>
        <w:numPr>
          <w:ilvl w:val="0"/>
          <w:numId w:val="6"/>
        </w:numPr>
        <w:tabs>
          <w:tab w:val="clear" w:pos="709"/>
          <w:tab w:val="left" w:pos="683" w:leader="none"/>
        </w:tabs>
        <w:jc w:val="both"/>
        <w:rPr>
          <w:b w:val="false"/>
          <w:bCs w:val="false"/>
          <w:color w:val="000000"/>
        </w:rPr>
      </w:pPr>
      <w:r>
        <w:rPr>
          <w:rFonts w:eastAsia="NSimSun" w:cs="Arial Unicode MS"/>
          <w:b w:val="false"/>
          <w:bCs w:val="false"/>
          <w:color w:val="000000"/>
          <w:lang w:eastAsia="zh-CN" w:bidi="hi-IN"/>
        </w:rPr>
        <w:t>possedere la capacità economica di co-finanziare nella misura di almeno il 20% le azioni che vengono proposte nella scheda descrittiva e/o che verranno poste in capo al medesimo in fase di elaborazione progettuale, quale esito di co-progettazione</w:t>
      </w:r>
      <w:r>
        <w:rPr>
          <w:b w:val="false"/>
          <w:bCs w:val="false"/>
          <w:strike/>
          <w:color w:val="000000"/>
        </w:rPr>
        <w:t>;</w:t>
      </w:r>
    </w:p>
    <w:p>
      <w:pPr>
        <w:pStyle w:val="Normal"/>
        <w:numPr>
          <w:ilvl w:val="0"/>
          <w:numId w:val="6"/>
        </w:numPr>
        <w:tabs>
          <w:tab w:val="clear" w:pos="709"/>
          <w:tab w:val="left" w:pos="683" w:leader="none"/>
        </w:tabs>
        <w:jc w:val="both"/>
        <w:rPr>
          <w:color w:val="000000"/>
        </w:rPr>
      </w:pPr>
      <w:r>
        <w:rPr>
          <w:color w:val="000000"/>
        </w:rPr>
        <w:t>non trovarsi in condizioni tali da risultare un’impresa in difficoltà così come definita dagli Orientamenti comunitari sugli aiuti di Stato per il salvataggio e la ristrutturazione delle imprese in difficoltà pubblicati nella Gazzetta Ufficiale dell’Unione europea C244 del 1.10.2004;</w:t>
      </w:r>
    </w:p>
    <w:p>
      <w:pPr>
        <w:pStyle w:val="Normal"/>
        <w:numPr>
          <w:ilvl w:val="0"/>
          <w:numId w:val="6"/>
        </w:numPr>
        <w:tabs>
          <w:tab w:val="clear" w:pos="709"/>
          <w:tab w:val="left" w:pos="683" w:leader="none"/>
        </w:tabs>
        <w:jc w:val="both"/>
        <w:rPr>
          <w:color w:val="000000"/>
        </w:rPr>
      </w:pPr>
      <w:r>
        <w:rPr>
          <w:color w:val="000000"/>
        </w:rPr>
        <w:t>non avere contenziosi giuridici in corso con il Comune di Reggio Emilia.</w:t>
      </w:r>
    </w:p>
    <w:p>
      <w:pPr>
        <w:pStyle w:val="Normal"/>
        <w:spacing w:lineRule="auto" w:line="247"/>
        <w:jc w:val="both"/>
        <w:rPr/>
      </w:pPr>
      <w:r>
        <w:rPr/>
      </w:r>
    </w:p>
    <w:p>
      <w:pPr>
        <w:pStyle w:val="Normal"/>
        <w:spacing w:lineRule="auto" w:line="247"/>
        <w:jc w:val="both"/>
        <w:rPr>
          <w:b/>
          <w:bCs/>
          <w:strike/>
        </w:rPr>
      </w:pPr>
      <w:r>
        <w:rPr>
          <w:color w:val="000000"/>
        </w:rPr>
        <w:t xml:space="preserve">Tali requisiti andranno dichiarati ai sensi del DPR445/2000 nella manifestazione di interesse. </w:t>
      </w:r>
    </w:p>
    <w:p>
      <w:pPr>
        <w:pStyle w:val="Normal"/>
        <w:jc w:val="both"/>
        <w:rPr>
          <w:color w:val="000000"/>
        </w:rPr>
      </w:pPr>
      <w:r>
        <w:rPr>
          <w:color w:val="000000"/>
        </w:rPr>
        <w:t>Le manifestazioni di interesse di soggetti privi dei requisiti suddetti non saranno prese in considerazione.</w:t>
      </w:r>
    </w:p>
    <w:p>
      <w:pPr>
        <w:pStyle w:val="Normal"/>
        <w:jc w:val="both"/>
        <w:rPr>
          <w:b/>
          <w:bCs/>
        </w:rPr>
      </w:pPr>
      <w:r>
        <w:rPr>
          <w:b/>
          <w:bCs/>
        </w:rPr>
      </w:r>
    </w:p>
    <w:p>
      <w:pPr>
        <w:pStyle w:val="Normal"/>
        <w:jc w:val="both"/>
        <w:rPr>
          <w:b w:val="false"/>
          <w:bCs w:val="false"/>
          <w:color w:val="000000"/>
        </w:rPr>
      </w:pPr>
      <w:r>
        <w:rPr>
          <w:rFonts w:eastAsia="NSimSun" w:cs="Arial Unicode MS"/>
          <w:b w:val="false"/>
          <w:bCs w:val="false"/>
          <w:color w:val="000000"/>
          <w:lang w:eastAsia="zh-CN" w:bidi="hi-IN"/>
        </w:rPr>
        <w:t>Inoltre, i soggetti destinatari devono impegnarsi:</w:t>
      </w:r>
    </w:p>
    <w:p>
      <w:pPr>
        <w:pStyle w:val="Normal"/>
        <w:jc w:val="both"/>
        <w:rPr>
          <w:b/>
          <w:bCs/>
        </w:rPr>
      </w:pPr>
      <w:r>
        <w:rPr>
          <w:b/>
          <w:bCs/>
        </w:rPr>
      </w:r>
    </w:p>
    <w:p>
      <w:pPr>
        <w:pStyle w:val="Normal"/>
        <w:widowControl/>
        <w:numPr>
          <w:ilvl w:val="0"/>
          <w:numId w:val="7"/>
        </w:numPr>
        <w:suppressAutoHyphens w:val="true"/>
        <w:bidi w:val="0"/>
        <w:spacing w:before="0" w:after="0"/>
        <w:jc w:val="both"/>
        <w:rPr>
          <w:color w:val="000000"/>
        </w:rPr>
      </w:pPr>
      <w:r>
        <w:rPr>
          <w:rFonts w:eastAsia="NSimSun" w:cs="Arial Unicode MS"/>
          <w:color w:val="000000"/>
          <w:lang w:eastAsia="zh-CN" w:bidi="hi-IN"/>
        </w:rPr>
        <w:t>operare nel rispetto delle vigenti normative in materia di edilizia ed urbanistica, in materia di tutela ambientale, sicurezza e tutela della salute nei luoghi di lavoro, delle normative per le pari opportunità tra uomo e donna e delle disposizioni in materia di contrattazione collettiva nazionale e territoriale del lavoro con particolare riferimento agli obblighi contributivi e a quanto disposto dagli artt. 4 e 7 della LR 18 settembre 2007, n. 16 “Disposizioni dirette alla tutela del lavoro, al contrasto e all’emersione del lavoro non regolare”;</w:t>
      </w:r>
    </w:p>
    <w:p>
      <w:pPr>
        <w:pStyle w:val="Normal"/>
        <w:widowControl/>
        <w:numPr>
          <w:ilvl w:val="0"/>
          <w:numId w:val="7"/>
        </w:numPr>
        <w:suppressAutoHyphens w:val="true"/>
        <w:bidi w:val="0"/>
        <w:spacing w:before="0" w:after="0"/>
        <w:jc w:val="both"/>
        <w:rPr>
          <w:color w:val="000000"/>
        </w:rPr>
      </w:pPr>
      <w:r>
        <w:rPr>
          <w:rFonts w:eastAsia="NSimSun" w:cs="Arial Unicode MS"/>
          <w:color w:val="000000"/>
          <w:lang w:eastAsia="zh-CN" w:bidi="hi-IN"/>
        </w:rPr>
        <w:t>impegnarsi ad applicare la disciplina antiriciclaggio di cui al DLgs 4 ottobre 2019, n. 125;</w:t>
      </w:r>
    </w:p>
    <w:p>
      <w:pPr>
        <w:pStyle w:val="Normal"/>
        <w:numPr>
          <w:ilvl w:val="1"/>
          <w:numId w:val="1"/>
        </w:numPr>
        <w:tabs>
          <w:tab w:val="clear" w:pos="709"/>
          <w:tab w:val="left" w:pos="796" w:leader="none"/>
        </w:tabs>
        <w:spacing w:before="240" w:after="240"/>
        <w:ind w:hanging="359" w:left="0"/>
        <w:jc w:val="both"/>
        <w:rPr/>
      </w:pPr>
      <w:r>
        <w:rPr>
          <w:b/>
          <w:bCs/>
          <w:color w:val="000000"/>
          <w:u w:val="single"/>
        </w:rPr>
        <w:t>IDONEITA’ ECONOMICA</w:t>
      </w:r>
    </w:p>
    <w:p>
      <w:pPr>
        <w:pStyle w:val="Normal"/>
        <w:jc w:val="both"/>
        <w:rPr/>
      </w:pPr>
      <w:r>
        <w:rPr/>
        <w:t>I potenziali delivery partner devono dimostrare di possedere requisiti di capacità economica comprovati a mezzo di autodichiarazione all’idoneità sul piano economico e finanziario ad assumere gli obblighi derivanti dal progetto così come previsto dal bando EUI, quali ad esempio l’obbligo a garantire un co-finanziamento, per la quota parte di competenza del progetto nella misura minima del 20% (sia che consista nella valorizzazione di beni, servizi o personale messi a disposizione gratuitamente del progetto o che si sostanzi invece in spese da sostenere effettivamente o in entrambe le formulazioni).</w:t>
      </w:r>
    </w:p>
    <w:p>
      <w:pPr>
        <w:pStyle w:val="Normal"/>
        <w:jc w:val="both"/>
        <w:rPr>
          <w:strike/>
        </w:rPr>
      </w:pPr>
      <w:r>
        <w:rPr/>
        <w:t xml:space="preserve">Tale idoneità andrà dichiarata ai sensi del DPR445/2000 nella manifestazione di interesse </w:t>
      </w:r>
    </w:p>
    <w:p>
      <w:pPr>
        <w:pStyle w:val="Normal"/>
        <w:jc w:val="both"/>
        <w:rPr>
          <w:strike/>
        </w:rPr>
      </w:pPr>
      <w:r>
        <w:rPr>
          <w:strike/>
        </w:rPr>
      </w:r>
    </w:p>
    <w:p>
      <w:pPr>
        <w:pStyle w:val="Normal"/>
        <w:numPr>
          <w:ilvl w:val="1"/>
          <w:numId w:val="1"/>
        </w:numPr>
        <w:tabs>
          <w:tab w:val="clear" w:pos="709"/>
          <w:tab w:val="left" w:pos="796" w:leader="none"/>
        </w:tabs>
        <w:spacing w:before="240" w:after="240"/>
        <w:ind w:hanging="359" w:left="0"/>
        <w:jc w:val="both"/>
        <w:rPr>
          <w:color w:val="000000"/>
        </w:rPr>
      </w:pPr>
      <w:r>
        <w:rPr>
          <w:b/>
          <w:bCs/>
          <w:color w:val="000000"/>
          <w:u w:val="single"/>
        </w:rPr>
        <w:t>COMPETENZE E COERENZA DEL PARTENARIATO</w:t>
      </w:r>
    </w:p>
    <w:p>
      <w:pPr>
        <w:pStyle w:val="Normal"/>
        <w:jc w:val="both"/>
        <w:rPr>
          <w:color w:val="000000"/>
        </w:rPr>
      </w:pPr>
      <w:r>
        <w:rPr>
          <w:color w:val="000000"/>
        </w:rPr>
        <w:t>Il gruppo dei delivery partner dovrà garantire uno sviluppo della progettazione, della candidatura e dell’attuazione coerente con l’idea sopra riportata, al massimo livello di innovazione e competenza.</w:t>
      </w:r>
    </w:p>
    <w:p>
      <w:pPr>
        <w:pStyle w:val="Normal"/>
        <w:jc w:val="both"/>
        <w:rPr>
          <w:color w:val="000000"/>
        </w:rPr>
      </w:pPr>
      <w:r>
        <w:rPr>
          <w:color w:val="000000"/>
        </w:rPr>
        <w:t>I singoli soggetti che rientreranno nel partenariato saranno responsabili della realizzazione e del cofinanziamento di specifiche azioni, della produzione dei rispettivi risultati consegnabili/output.</w:t>
      </w:r>
    </w:p>
    <w:p>
      <w:pPr>
        <w:pStyle w:val="Normal"/>
        <w:jc w:val="both"/>
        <w:rPr>
          <w:color w:val="000000"/>
        </w:rPr>
      </w:pPr>
      <w:r>
        <w:rPr>
          <w:color w:val="000000"/>
        </w:rPr>
        <w:t>Pertanto, l’Amministrazione Comunale auspica la partecipazione al partenariato, in via esemplificativa e non esaustiva, delivery partner interessati a svolgere una o più delle seguenti azioni e che dimostrino quindi di avere esperienze e competenze in merito a:</w:t>
      </w:r>
    </w:p>
    <w:p>
      <w:pPr>
        <w:pStyle w:val="Paragrafoelenco1"/>
        <w:numPr>
          <w:ilvl w:val="0"/>
          <w:numId w:val="3"/>
        </w:numPr>
        <w:tabs>
          <w:tab w:val="clear" w:pos="709"/>
          <w:tab w:val="left" w:pos="1516" w:leader="none"/>
        </w:tabs>
        <w:jc w:val="both"/>
        <w:rPr>
          <w:color w:val="000000"/>
        </w:rPr>
      </w:pPr>
      <w:r>
        <w:rPr>
          <w:color w:val="000000"/>
        </w:rPr>
        <w:t>gestione e progettazione di laboratori di co-costruzione di immaginari futuri e sviluppo di percorsi partecipativi con studenti, artisti, cittadini;</w:t>
      </w:r>
    </w:p>
    <w:p>
      <w:pPr>
        <w:pStyle w:val="Paragrafoelenco1"/>
        <w:numPr>
          <w:ilvl w:val="0"/>
          <w:numId w:val="3"/>
        </w:numPr>
        <w:tabs>
          <w:tab w:val="clear" w:pos="709"/>
          <w:tab w:val="left" w:pos="1516" w:leader="none"/>
        </w:tabs>
        <w:jc w:val="both"/>
        <w:rPr>
          <w:color w:val="000000"/>
        </w:rPr>
      </w:pPr>
      <w:r>
        <w:rPr>
          <w:color w:val="000000"/>
        </w:rPr>
        <w:t>capacity building e progettazione e sviluppo di percorsi sperimentali e cross-settoriali per imprese e cittadini;</w:t>
      </w:r>
    </w:p>
    <w:p>
      <w:pPr>
        <w:pStyle w:val="Paragrafoelenco1"/>
        <w:numPr>
          <w:ilvl w:val="0"/>
          <w:numId w:val="3"/>
        </w:numPr>
        <w:tabs>
          <w:tab w:val="clear" w:pos="709"/>
          <w:tab w:val="left" w:pos="1516" w:leader="none"/>
        </w:tabs>
        <w:jc w:val="both"/>
        <w:rPr>
          <w:color w:val="000000"/>
        </w:rPr>
      </w:pPr>
      <w:r>
        <w:rPr>
          <w:color w:val="000000"/>
        </w:rPr>
        <w:t>progettazione di servizi e prodotti innovativi cross settoriali (tech e cultura);</w:t>
      </w:r>
    </w:p>
    <w:p>
      <w:pPr>
        <w:pStyle w:val="Paragrafoelenco1"/>
        <w:numPr>
          <w:ilvl w:val="0"/>
          <w:numId w:val="3"/>
        </w:numPr>
        <w:tabs>
          <w:tab w:val="clear" w:pos="709"/>
          <w:tab w:val="left" w:pos="1516" w:leader="none"/>
        </w:tabs>
        <w:jc w:val="both"/>
        <w:rPr>
          <w:color w:val="000000"/>
        </w:rPr>
      </w:pPr>
      <w:r>
        <w:rPr>
          <w:color w:val="000000"/>
        </w:rPr>
        <w:t>sviluppo di soluzioni e servizi temporanei di prossimità;</w:t>
      </w:r>
    </w:p>
    <w:p>
      <w:pPr>
        <w:pStyle w:val="Paragrafoelenco1"/>
        <w:numPr>
          <w:ilvl w:val="0"/>
          <w:numId w:val="3"/>
        </w:numPr>
        <w:tabs>
          <w:tab w:val="clear" w:pos="709"/>
          <w:tab w:val="left" w:pos="1516" w:leader="none"/>
        </w:tabs>
        <w:jc w:val="both"/>
        <w:rPr/>
      </w:pPr>
      <w:r>
        <w:rPr>
          <w:color w:val="000000"/>
        </w:rPr>
        <w:t>gestione di percorsi di valutazione di impatto e analisi della trasferibilità.</w:t>
      </w:r>
    </w:p>
    <w:p>
      <w:pPr>
        <w:pStyle w:val="Normal"/>
        <w:spacing w:before="240" w:after="0"/>
        <w:jc w:val="both"/>
        <w:rPr/>
      </w:pPr>
      <w:r>
        <w:rPr/>
        <w:t>L’Amministrazione comunale sarà particolarmente attenta nel verificare</w:t>
      </w:r>
      <w:r>
        <w:rPr>
          <w:color w:val="000000"/>
        </w:rPr>
        <w:t xml:space="preserve"> </w:t>
      </w:r>
      <w:r>
        <w:rPr>
          <w:rFonts w:eastAsia="NSimSun" w:cs="Arial Unicode MS"/>
          <w:b w:val="false"/>
          <w:bCs w:val="false"/>
          <w:color w:val="000000"/>
          <w:lang w:eastAsia="zh-CN" w:bidi="hi-IN"/>
        </w:rPr>
        <w:t>anche al fine di garantire il coordinamento tra le diverse azioni che verranno attivate sul territorio</w:t>
      </w:r>
      <w:r>
        <w:rPr/>
        <w:t xml:space="preserve"> che il partenariato assicuri, nel suo complesso, la presenza di competenze trasversali inerenti:</w:t>
      </w:r>
    </w:p>
    <w:p>
      <w:pPr>
        <w:pStyle w:val="Paragrafoelenco1"/>
        <w:numPr>
          <w:ilvl w:val="0"/>
          <w:numId w:val="4"/>
        </w:numPr>
        <w:jc w:val="both"/>
        <w:rPr/>
      </w:pPr>
      <w:r>
        <w:rPr/>
        <w:t>approccio alla sostenibilità ambientale, sociale ed economica dei sistemi urbani, produttivi, infrastrutturali e dei servizi;</w:t>
      </w:r>
    </w:p>
    <w:p>
      <w:pPr>
        <w:pStyle w:val="Paragrafoelenco1"/>
        <w:numPr>
          <w:ilvl w:val="0"/>
          <w:numId w:val="4"/>
        </w:numPr>
        <w:jc w:val="both"/>
        <w:rPr/>
      </w:pPr>
      <w:r>
        <w:rPr/>
        <w:t>approccio alla digitalizzazione consapevole e alla gestione dei dati;</w:t>
      </w:r>
    </w:p>
    <w:p>
      <w:pPr>
        <w:pStyle w:val="Paragrafoelenco1"/>
        <w:numPr>
          <w:ilvl w:val="0"/>
          <w:numId w:val="4"/>
        </w:numPr>
        <w:jc w:val="both"/>
        <w:rPr/>
      </w:pPr>
      <w:r>
        <w:rPr/>
        <w:t>approccio a modelli di lavoro multidisciplinari e partecipativi;</w:t>
      </w:r>
    </w:p>
    <w:p>
      <w:pPr>
        <w:pStyle w:val="Paragrafoelenco1"/>
        <w:numPr>
          <w:ilvl w:val="0"/>
          <w:numId w:val="0"/>
        </w:numPr>
        <w:ind w:hanging="0" w:left="360"/>
        <w:jc w:val="both"/>
        <w:rPr>
          <w:strike/>
        </w:rPr>
      </w:pPr>
      <w:r>
        <w:rPr>
          <w:strike/>
        </w:rPr>
      </w:r>
    </w:p>
    <w:p>
      <w:pPr>
        <w:pStyle w:val="Normal"/>
        <w:jc w:val="both"/>
        <w:rPr/>
      </w:pPr>
      <w:r>
        <w:rPr/>
        <w:t xml:space="preserve">I Delivery partner dovranno altresì dimostrare di poter interagire efficacemente nell’ambito di un progetto </w:t>
      </w:r>
      <w:r>
        <w:rPr>
          <w:color w:val="000000"/>
        </w:rPr>
        <w:t>visionario, i</w:t>
      </w:r>
      <w:r>
        <w:rPr/>
        <w:t>ntegrato e complesso, pertanto dovrà essere assicurata all’interno del gruppo dei Delivery partner una significativa presenza di soggetti portatori di:</w:t>
      </w:r>
    </w:p>
    <w:p>
      <w:pPr>
        <w:pStyle w:val="Paragrafoelenco1"/>
        <w:numPr>
          <w:ilvl w:val="0"/>
          <w:numId w:val="4"/>
        </w:numPr>
        <w:jc w:val="both"/>
        <w:rPr/>
      </w:pPr>
      <w:r>
        <w:rPr/>
        <w:t>Precedenti esperienze nella partecipazione in reti, cluster o progetti complessi di rilievo sovra-locale, che comprovino la capacità di integrare la propria progettualità e azione nell’ambito di un partenariato operativo;</w:t>
      </w:r>
    </w:p>
    <w:p>
      <w:pPr>
        <w:pStyle w:val="Paragrafoelenco1"/>
        <w:numPr>
          <w:ilvl w:val="0"/>
          <w:numId w:val="4"/>
        </w:numPr>
        <w:jc w:val="both"/>
        <w:rPr/>
      </w:pPr>
      <w:r>
        <w:rPr/>
        <w:t>Competenze gestionali e manageriali testate nell’ambito di progettualità complesse, dimestichezza nell’operare a livello europeo e internazionale;</w:t>
      </w:r>
    </w:p>
    <w:p>
      <w:pPr>
        <w:pStyle w:val="Paragrafoelenco1"/>
        <w:numPr>
          <w:ilvl w:val="0"/>
          <w:numId w:val="4"/>
        </w:numPr>
        <w:jc w:val="both"/>
        <w:rPr>
          <w:u w:val="single"/>
        </w:rPr>
      </w:pPr>
      <w:r>
        <w:rPr/>
        <w:t>Esperienze e alto grado di capacità d’innovazione nel proprio ambito d’azione comprovate da precedenti successi progettuali o imprenditoriali e/o riconoscimenti e premi.</w:t>
      </w:r>
    </w:p>
    <w:p>
      <w:pPr>
        <w:sectPr>
          <w:type w:val="nextPage"/>
          <w:pgSz w:w="11906" w:h="16838"/>
          <w:pgMar w:left="1134" w:right="1134" w:gutter="0" w:header="0" w:top="1134" w:footer="0" w:bottom="1134"/>
          <w:pgNumType w:start="1" w:fmt="decimal"/>
          <w:formProt w:val="false"/>
          <w:textDirection w:val="lrTb"/>
          <w:docGrid w:type="default" w:linePitch="100" w:charSpace="0"/>
        </w:sectPr>
        <w:pStyle w:val="Normal"/>
        <w:spacing w:before="240" w:after="0"/>
        <w:jc w:val="both"/>
        <w:rPr>
          <w:color w:val="000000"/>
          <w:sz w:val="20"/>
          <w:szCs w:val="20"/>
        </w:rPr>
      </w:pPr>
      <w:r>
        <w:rPr>
          <w:u w:val="single"/>
        </w:rPr>
        <w:t>Le caratteristiche sopra descritte dovranno emergere dalla manifestazione d’interesse (e saranno oggetto di valutazione.</w:t>
      </w:r>
    </w:p>
    <w:p>
      <w:pPr>
        <w:pStyle w:val="Normal"/>
        <w:rPr>
          <w:color w:val="000000"/>
          <w:sz w:val="20"/>
          <w:szCs w:val="20"/>
        </w:rPr>
      </w:pPr>
      <w:r>
        <w:rPr>
          <w:color w:val="000000"/>
          <w:sz w:val="20"/>
          <w:szCs w:val="20"/>
        </w:rPr>
      </w:r>
    </w:p>
    <w:p>
      <w:pPr>
        <w:pStyle w:val="Heading1"/>
        <w:numPr>
          <w:ilvl w:val="0"/>
          <w:numId w:val="1"/>
        </w:numPr>
        <w:tabs>
          <w:tab w:val="clear" w:pos="709"/>
          <w:tab w:val="left" w:pos="1115" w:leader="none"/>
          <w:tab w:val="left" w:pos="10934" w:leader="none"/>
        </w:tabs>
        <w:ind w:hanging="347" w:left="0"/>
        <w:rPr>
          <w:color w:val="000000"/>
        </w:rPr>
      </w:pPr>
      <w:r>
        <w:rPr>
          <w:color w:val="000000"/>
          <w:shd w:fill="FCFCFC" w:val="clear"/>
        </w:rPr>
        <w:t>MODALITÀ DI PARTECIPAZIONE</w:t>
      </w:r>
    </w:p>
    <w:p>
      <w:pPr>
        <w:pStyle w:val="Normal"/>
        <w:jc w:val="both"/>
        <w:rPr>
          <w:color w:val="000000"/>
        </w:rPr>
      </w:pPr>
      <w:r>
        <w:rPr>
          <w:color w:val="000000"/>
        </w:rPr>
      </w:r>
    </w:p>
    <w:p>
      <w:pPr>
        <w:pStyle w:val="Normal"/>
        <w:jc w:val="both"/>
        <w:rPr>
          <w:b w:val="false"/>
          <w:bCs w:val="false"/>
          <w:color w:val="000000"/>
        </w:rPr>
      </w:pPr>
      <w:r>
        <w:rPr>
          <w:b w:val="false"/>
          <w:bCs w:val="false"/>
          <w:color w:val="000000"/>
        </w:rPr>
      </w:r>
    </w:p>
    <w:p>
      <w:pPr>
        <w:pStyle w:val="Normal"/>
        <w:jc w:val="both"/>
        <w:rPr>
          <w:color w:val="000000"/>
        </w:rPr>
      </w:pPr>
      <w:r>
        <w:rPr>
          <w:rFonts w:eastAsia="NSimSun" w:cs="Arial Unicode MS"/>
          <w:b w:val="false"/>
          <w:bCs w:val="false"/>
          <w:color w:val="000000"/>
          <w:sz w:val="23"/>
          <w:lang w:eastAsia="zh-CN" w:bidi="hi-IN"/>
        </w:rPr>
        <w:t>Gli interessati dovranno far pervenire apposita domanda redatta, a pena di esclusione, unicamente in modalità telematica compilando l’apposito modulo online disponibile in Homepage del portale istituzionale del Comune di Reggio Emilia al seguente link:</w:t>
      </w:r>
      <w:r>
        <w:rPr>
          <w:rFonts w:eastAsia="NSimSun" w:cs="Arial Unicode MS"/>
          <w:b w:val="false"/>
          <w:bCs w:val="false"/>
          <w:color w:val="000000"/>
          <w:sz w:val="23"/>
          <w:shd w:fill="auto" w:val="clear"/>
          <w:lang w:eastAsia="zh-CN" w:bidi="hi-IN"/>
        </w:rPr>
        <w:t xml:space="preserve">  </w:t>
      </w:r>
      <w:hyperlink r:id="rId3" w:tgtFrame="_blank">
        <w:bookmarkStart w:id="0" w:name="OBJ_PREFIX_DWT345_com_zimbra_url"/>
        <w:bookmarkEnd w:id="0"/>
        <w:r>
          <w:rPr>
            <w:rStyle w:val="Hyperlink"/>
            <w:rFonts w:eastAsia="NSimSun" w:cs="Arial Unicode MS"/>
            <w:b w:val="false"/>
            <w:bCs w:val="false"/>
            <w:color w:val="000000"/>
            <w:sz w:val="23"/>
            <w:u w:val="single"/>
            <w:shd w:fill="auto" w:val="clear"/>
            <w:lang w:eastAsia="zh-CN" w:bidi="hi-IN"/>
          </w:rPr>
          <w:t>https://istanze.comune.reggioemilia.it/rwe2/module_preview.jsp?MODULE_TAG=PROG_010</w:t>
        </w:r>
      </w:hyperlink>
    </w:p>
    <w:p>
      <w:pPr>
        <w:pStyle w:val="Normal"/>
        <w:rPr>
          <w:b w:val="false"/>
          <w:bCs w:val="false"/>
          <w:color w:val="000000"/>
          <w:sz w:val="23"/>
        </w:rPr>
      </w:pPr>
      <w:r>
        <w:rPr>
          <w:b w:val="false"/>
          <w:bCs w:val="false"/>
          <w:color w:val="000000"/>
          <w:sz w:val="23"/>
        </w:rPr>
      </w:r>
    </w:p>
    <w:p>
      <w:pPr>
        <w:pStyle w:val="Default"/>
        <w:jc w:val="both"/>
        <w:rPr>
          <w:color w:val="000000"/>
        </w:rPr>
      </w:pPr>
      <w:r>
        <w:rPr>
          <w:rFonts w:eastAsia="Arial" w:cs="Arial" w:ascii="Arial" w:hAnsi="Arial"/>
          <w:b w:val="false"/>
          <w:bCs w:val="false"/>
          <w:color w:val="000000"/>
          <w:sz w:val="23"/>
          <w:lang w:eastAsia="it-IT"/>
        </w:rPr>
        <w:t>Per procedere con la compilazione della domanda è necessario avere un'identità digitale SPID. Informazioni su come ottenerla sono disponibili sul sito ufficiale https://www.spid.gov.it.</w:t>
      </w:r>
    </w:p>
    <w:p>
      <w:pPr>
        <w:pStyle w:val="Default"/>
        <w:jc w:val="both"/>
        <w:rPr>
          <w:rFonts w:ascii="Arial" w:hAnsi="Arial"/>
          <w:b w:val="false"/>
          <w:bCs w:val="false"/>
          <w:color w:val="000000"/>
          <w:sz w:val="23"/>
        </w:rPr>
      </w:pPr>
      <w:r>
        <w:rPr>
          <w:rFonts w:ascii="Arial" w:hAnsi="Arial"/>
          <w:b w:val="false"/>
          <w:bCs w:val="false"/>
          <w:color w:val="000000"/>
          <w:sz w:val="23"/>
        </w:rPr>
      </w:r>
    </w:p>
    <w:p>
      <w:pPr>
        <w:pStyle w:val="Default"/>
        <w:jc w:val="both"/>
        <w:rPr>
          <w:color w:val="000000"/>
        </w:rPr>
      </w:pPr>
      <w:r>
        <w:rPr>
          <w:rFonts w:eastAsia="Arial" w:cs="Arial" w:ascii="Arial" w:hAnsi="Arial"/>
          <w:b w:val="false"/>
          <w:bCs w:val="false"/>
          <w:color w:val="000000"/>
          <w:sz w:val="23"/>
          <w:lang w:eastAsia="it-IT"/>
        </w:rPr>
        <w:t>Il Comune di Reggio Emilia, in collaborazione con la Regione Emilia-Romagna, offre gratuitamente l’identità digitale SPID tramite il servizio LepidaID della società Lepida S.p.A., ulteriori informazioni sono disponibili all’indirizzo: https://www.comune.re.it/registrazione. Per eventuali difficoltà nel recupero della password smarrita o dimenticata, occorre rivolgersi al proprio gestore di identità SPID.</w:t>
      </w:r>
    </w:p>
    <w:p>
      <w:pPr>
        <w:pStyle w:val="Normal"/>
        <w:jc w:val="both"/>
        <w:rPr>
          <w:rFonts w:ascii="Arial" w:hAnsi="Arial" w:eastAsia="Arial" w:cs="Arial"/>
          <w:b w:val="false"/>
          <w:bCs w:val="false"/>
          <w:color w:val="000000"/>
          <w:kern w:val="0"/>
          <w:sz w:val="23"/>
          <w:szCs w:val="22"/>
          <w:lang w:eastAsia="it-IT" w:bidi="ar-SA"/>
        </w:rPr>
      </w:pPr>
      <w:r>
        <w:rPr>
          <w:rFonts w:eastAsia="Arial" w:cs="Arial" w:ascii="Arial" w:hAnsi="Arial"/>
          <w:b w:val="false"/>
          <w:bCs w:val="false"/>
          <w:color w:val="000000"/>
          <w:kern w:val="0"/>
          <w:sz w:val="23"/>
          <w:szCs w:val="22"/>
          <w:lang w:eastAsia="it-IT" w:bidi="ar-SA"/>
        </w:rPr>
      </w:r>
    </w:p>
    <w:p>
      <w:pPr>
        <w:pStyle w:val="Normal"/>
        <w:jc w:val="both"/>
        <w:rPr>
          <w:color w:val="000000"/>
        </w:rPr>
      </w:pPr>
      <w:r>
        <w:rPr>
          <w:rFonts w:eastAsia="NSimSun" w:cs="Arial Unicode MS"/>
          <w:b w:val="false"/>
          <w:bCs w:val="false"/>
          <w:color w:val="000000"/>
          <w:sz w:val="23"/>
          <w:lang w:eastAsia="zh-CN" w:bidi="hi-IN"/>
        </w:rPr>
        <w:t>I possessori di una Carta di Identità Elettronica (CIE) 3.0 possono utilizzarla in alternativa a SPID per accedere al servizio.</w:t>
      </w:r>
    </w:p>
    <w:p>
      <w:pPr>
        <w:pStyle w:val="Normal"/>
        <w:jc w:val="both"/>
        <w:rPr>
          <w:b w:val="false"/>
          <w:bCs w:val="false"/>
          <w:color w:val="000000"/>
          <w:sz w:val="23"/>
        </w:rPr>
      </w:pPr>
      <w:r>
        <w:rPr>
          <w:b w:val="false"/>
          <w:bCs w:val="false"/>
          <w:color w:val="000000"/>
          <w:sz w:val="23"/>
        </w:rPr>
      </w:r>
    </w:p>
    <w:p>
      <w:pPr>
        <w:pStyle w:val="Normal"/>
        <w:jc w:val="both"/>
        <w:rPr>
          <w:color w:val="000000"/>
        </w:rPr>
      </w:pPr>
      <w:r>
        <w:rPr>
          <w:rFonts w:eastAsia="NSimSun" w:cs="Arial Unicode MS"/>
          <w:b w:val="false"/>
          <w:bCs w:val="false"/>
          <w:color w:val="000000"/>
          <w:sz w:val="23"/>
          <w:lang w:eastAsia="zh-CN" w:bidi="hi-IN"/>
        </w:rPr>
        <w:t>Per candidarsi occorrerà compilare integralmente e inviare il modulo di domanda online presente sulla piattaforma. Il sistema informatico, acquisita la domanda, provvederà ad inviare in automatico, all’indirizzo Email associato alle credenziali SPID, un messaggio di conferma del corretto inoltro della domanda riportante il numero di ricevuta. Successivamente il candidato riceverà una ulteriore Email al medesimo indirizzo contenente il numero di protocollo della domanda di partecipazione</w:t>
      </w:r>
    </w:p>
    <w:p>
      <w:pPr>
        <w:pStyle w:val="Normal"/>
        <w:jc w:val="both"/>
        <w:rPr>
          <w:b w:val="false"/>
          <w:bCs w:val="false"/>
          <w:color w:val="000000"/>
          <w:u w:val="single"/>
        </w:rPr>
      </w:pPr>
      <w:r>
        <w:rPr>
          <w:b w:val="false"/>
          <w:bCs w:val="false"/>
          <w:color w:val="000000"/>
          <w:u w:val="single"/>
        </w:rPr>
      </w:r>
    </w:p>
    <w:p>
      <w:pPr>
        <w:pStyle w:val="Normal"/>
        <w:jc w:val="both"/>
        <w:rPr>
          <w:color w:val="000000"/>
        </w:rPr>
      </w:pPr>
      <w:r>
        <w:rPr>
          <w:rFonts w:eastAsia="NSimSun" w:cs="Arial Unicode MS"/>
          <w:b w:val="false"/>
          <w:bCs w:val="false"/>
          <w:color w:val="000000"/>
          <w:sz w:val="23"/>
          <w:u w:val="single"/>
          <w:lang w:eastAsia="zh-CN" w:bidi="hi-IN"/>
        </w:rPr>
        <w:t>La mancanza di uno solo dei requisiti e/o documenti richiesti determinerà l’esclusione dalla procedura e non si terrà conto di istanze pervenute con altri mezzi e/o oltre il termine perentorio. Non saranno considerate valide eventuali domande pervenute all’Ente, con ogni mezzo, in data precedente alla pubblicazione del presente avviso.</w:t>
      </w:r>
    </w:p>
    <w:p>
      <w:pPr>
        <w:pStyle w:val="Normal"/>
        <w:jc w:val="both"/>
        <w:rPr>
          <w:b w:val="false"/>
          <w:bCs w:val="false"/>
          <w:color w:val="000000"/>
          <w:u w:val="single"/>
        </w:rPr>
      </w:pPr>
      <w:r>
        <w:rPr>
          <w:b w:val="false"/>
          <w:bCs w:val="false"/>
          <w:color w:val="000000"/>
          <w:u w:val="single"/>
        </w:rPr>
      </w:r>
    </w:p>
    <w:p>
      <w:pPr>
        <w:pStyle w:val="Normal"/>
        <w:jc w:val="both"/>
        <w:rPr>
          <w:color w:val="000000"/>
        </w:rPr>
      </w:pPr>
      <w:r>
        <w:rPr>
          <w:rFonts w:eastAsia="NSimSun" w:cs="Arial Unicode MS"/>
          <w:b w:val="false"/>
          <w:bCs w:val="false"/>
          <w:color w:val="000000"/>
          <w:sz w:val="23"/>
          <w:lang w:eastAsia="zh-CN" w:bidi="hi-IN"/>
        </w:rPr>
        <w:t xml:space="preserve">Oltre al termine stabilito nell’avviso, ossia il </w:t>
      </w:r>
      <w:r>
        <w:rPr>
          <w:b w:val="false"/>
          <w:bCs w:val="false"/>
          <w:color w:val="000000"/>
          <w:sz w:val="23"/>
          <w:shd w:fill="auto" w:val="clear"/>
        </w:rPr>
        <w:t>15.</w:t>
      </w:r>
      <w:r>
        <w:rPr>
          <w:rFonts w:eastAsia="NSimSun" w:cs="Arial Unicode MS"/>
          <w:b w:val="false"/>
          <w:bCs w:val="false"/>
          <w:color w:val="000000"/>
          <w:kern w:val="2"/>
          <w:sz w:val="23"/>
          <w:szCs w:val="24"/>
          <w:shd w:fill="auto" w:val="clear"/>
          <w:lang w:eastAsia="zh-CN" w:bidi="hi-IN"/>
        </w:rPr>
        <w:t>05.2026</w:t>
      </w:r>
      <w:r>
        <w:rPr>
          <w:rFonts w:eastAsia="NSimSun" w:cs="Arial Unicode MS"/>
          <w:b w:val="false"/>
          <w:bCs w:val="false"/>
          <w:color w:val="000000"/>
          <w:sz w:val="23"/>
          <w:shd w:fill="auto" w:val="clear"/>
          <w:lang w:eastAsia="zh-CN" w:bidi="hi-IN"/>
        </w:rPr>
        <w:t xml:space="preserve"> ore </w:t>
      </w:r>
      <w:r>
        <w:rPr>
          <w:b w:val="false"/>
          <w:bCs w:val="false"/>
          <w:color w:val="000000"/>
          <w:sz w:val="23"/>
          <w:shd w:fill="auto" w:val="clear"/>
        </w:rPr>
        <w:t>23.59</w:t>
      </w:r>
      <w:r>
        <w:rPr>
          <w:rFonts w:eastAsia="NSimSun" w:cs="Arial Unicode MS"/>
          <w:b w:val="false"/>
          <w:bCs w:val="false"/>
          <w:color w:val="000000"/>
          <w:sz w:val="23"/>
          <w:lang w:eastAsia="zh-CN" w:bidi="hi-IN"/>
        </w:rPr>
        <w:t xml:space="preserve">, il sistema telematico non consentirà l’invio di ulteriori candidature. </w:t>
      </w:r>
    </w:p>
    <w:p>
      <w:pPr>
        <w:pStyle w:val="Normal"/>
        <w:jc w:val="both"/>
        <w:rPr>
          <w:b w:val="false"/>
          <w:bCs w:val="false"/>
          <w:color w:val="000000"/>
        </w:rPr>
      </w:pPr>
      <w:r>
        <w:rPr>
          <w:b w:val="false"/>
          <w:bCs w:val="false"/>
          <w:color w:val="000000"/>
        </w:rPr>
      </w:r>
    </w:p>
    <w:p>
      <w:pPr>
        <w:pStyle w:val="Default"/>
        <w:jc w:val="both"/>
        <w:rPr>
          <w:color w:val="000000"/>
        </w:rPr>
      </w:pPr>
      <w:r>
        <w:rPr>
          <w:rFonts w:eastAsia="Arial" w:cs="Arial" w:ascii="Arial" w:hAnsi="Arial"/>
          <w:b w:val="false"/>
          <w:bCs w:val="false"/>
          <w:color w:val="000000"/>
          <w:sz w:val="23"/>
          <w:lang w:eastAsia="it-IT"/>
        </w:rPr>
        <w:t>Nella domanda i Candidati dovranno dichiarare, a pena d’esclusione, tutte le informazioni obbligatorie richieste dal sistema telematico.</w:t>
      </w:r>
    </w:p>
    <w:p>
      <w:pPr>
        <w:pStyle w:val="Default"/>
        <w:jc w:val="both"/>
        <w:rPr>
          <w:color w:val="000000"/>
        </w:rPr>
      </w:pPr>
      <w:r>
        <w:rPr>
          <w:rFonts w:eastAsia="Arial" w:cs="Arial" w:ascii="Arial" w:hAnsi="Arial"/>
          <w:b w:val="false"/>
          <w:bCs w:val="false"/>
          <w:color w:val="000000"/>
          <w:sz w:val="23"/>
          <w:lang w:eastAsia="it-IT"/>
        </w:rPr>
        <w:t>I recapiti indicati saranno considerati quelli da utilizzare per l’invio di tutte le eventuali comunicazioni relative alla procedura selettiva non pubblicabili unicamente con modalità internet. Il Comune di Reggio Emilia non assume responsabilità per eventuali ritardi/disguidi comunque imputabili a fatto di terzi, a caso fortuito o forza maggiore, ne per la dispersione di comunicazioni dipendente da inesatte indicazioni dei propri recapiti da parte dei partecipanti.</w:t>
      </w:r>
    </w:p>
    <w:p>
      <w:pPr>
        <w:pStyle w:val="Default"/>
        <w:jc w:val="both"/>
        <w:rPr>
          <w:color w:val="000000"/>
        </w:rPr>
      </w:pPr>
      <w:r>
        <w:rPr>
          <w:rFonts w:eastAsia="Arial" w:cs="Arial" w:ascii="Arial" w:hAnsi="Arial"/>
          <w:b w:val="false"/>
          <w:bCs w:val="false"/>
          <w:color w:val="000000"/>
          <w:sz w:val="23"/>
          <w:lang w:eastAsia="it-IT"/>
        </w:rPr>
        <w:t>Le dichiarazione che verranno rese dai Candidati sulla domanda di partecipazione  costituiranno dichiarazioni sostitutive ai sensi del D.P.R. 445/2000. Si richiama l’attenzione del Candidato alle responsabilità penali cui può andare incontro in caso di dichiarazioni non veritiere, ai sensi dell’art. 76 del D.P.R. 445/2000.</w:t>
      </w:r>
    </w:p>
    <w:p>
      <w:pPr>
        <w:pStyle w:val="Default"/>
        <w:jc w:val="both"/>
        <w:rPr>
          <w:color w:val="000000"/>
        </w:rPr>
      </w:pPr>
      <w:r>
        <w:rPr>
          <w:rFonts w:eastAsia="Arial" w:cs="Arial" w:ascii="Arial" w:hAnsi="Arial"/>
          <w:b w:val="false"/>
          <w:bCs w:val="false"/>
          <w:color w:val="000000"/>
          <w:sz w:val="23"/>
          <w:lang w:eastAsia="it-IT"/>
        </w:rPr>
        <w:t>L’Amministrazione Comunale potrà procedere a controlli sulla veridicità delle suddette dichiarazioni sostitutive, ai sensi di quanto previsto dagli artt. 71 e 72 del D.P.R. 445/2000.</w:t>
      </w:r>
    </w:p>
    <w:p>
      <w:pPr>
        <w:pStyle w:val="Default"/>
        <w:jc w:val="both"/>
        <w:rPr>
          <w:b w:val="false"/>
          <w:bCs w:val="false"/>
          <w:color w:val="000000"/>
        </w:rPr>
      </w:pPr>
      <w:r>
        <w:rPr>
          <w:rFonts w:eastAsia="Arial" w:cs="Arial" w:ascii="Arial" w:hAnsi="Arial"/>
          <w:b w:val="false"/>
          <w:bCs w:val="false"/>
          <w:color w:val="000000"/>
          <w:sz w:val="23"/>
          <w:lang w:eastAsia="it-IT"/>
        </w:rPr>
        <w:t>Il Comune di Reggio Emilia, qualora risulti necessario per l’esercizio del controllo di cui agli</w:t>
      </w:r>
      <w:r>
        <w:rPr>
          <w:rFonts w:eastAsia="Arial" w:cs="Arial" w:ascii="Arial" w:hAnsi="Arial"/>
          <w:b w:val="false"/>
          <w:bCs w:val="false"/>
          <w:color w:val="FF0000"/>
          <w:sz w:val="23"/>
          <w:lang w:eastAsia="it-IT"/>
        </w:rPr>
        <w:t xml:space="preserve"> </w:t>
      </w:r>
      <w:r>
        <w:rPr>
          <w:rFonts w:eastAsia="Arial" w:cs="Arial" w:ascii="Arial" w:hAnsi="Arial"/>
          <w:b w:val="false"/>
          <w:bCs w:val="false"/>
          <w:color w:val="000000"/>
          <w:sz w:val="23"/>
          <w:lang w:eastAsia="it-IT"/>
        </w:rPr>
        <w:t>artt. 71 e 72 del D.P.R. 445/2000, provvederà all’acquisizione d’ufficio, o alla richiesta di conferma, delle informazioni oggetto delle dichiarazioni sostitutive, nonché di tutti i dati e documenti che siano in possesso di Pubbliche Amministrazioni, previa indicazione, da parte dei Candidati, degli elementi indispensabili per il reperimento delle informazioni o dei dati richiesti, cosi come previsto dall’art. 43 del D.P.R. 445/2000.</w:t>
      </w:r>
    </w:p>
    <w:p>
      <w:pPr>
        <w:pStyle w:val="Normal"/>
        <w:widowControl/>
        <w:tabs>
          <w:tab w:val="clear" w:pos="709"/>
          <w:tab w:val="left" w:pos="797" w:leader="none"/>
        </w:tabs>
        <w:suppressAutoHyphens w:val="true"/>
        <w:bidi w:val="0"/>
        <w:spacing w:lineRule="auto" w:line="235" w:before="0" w:after="0"/>
        <w:ind w:hanging="0" w:left="0"/>
        <w:jc w:val="both"/>
        <w:rPr>
          <w:color w:val="000000"/>
        </w:rPr>
      </w:pPr>
      <w:r>
        <w:rPr>
          <w:color w:val="000000"/>
        </w:rPr>
      </w:r>
    </w:p>
    <w:p>
      <w:pPr>
        <w:pStyle w:val="Normal"/>
        <w:jc w:val="both"/>
        <w:rPr>
          <w:color w:val="000000"/>
        </w:rPr>
      </w:pPr>
      <w:r>
        <w:rPr>
          <w:rFonts w:eastAsia="Arial" w:cs="Arial"/>
          <w:b w:val="false"/>
          <w:bCs w:val="false"/>
          <w:color w:val="000000"/>
          <w:kern w:val="0"/>
          <w:sz w:val="23"/>
          <w:szCs w:val="22"/>
          <w:lang w:eastAsia="it-IT" w:bidi="ar-SA"/>
        </w:rPr>
        <w:t>I casi di irregolarità formali oppure di mancanza o incompletezza di dichiarazioni non essenziali, e i casi di carenza di qualsiasi elemento formale della domanda possono essere sanati attraverso la procedura di soccorso istruttorio: il Comune di Reggio assegnerà un termine, non superiore a 5 giorni lavorativi, perché siano presentate, integrate o regolarizzate le dichiarazioni necessarie, indicando i contenuti e i soggetti che le devono rendere. In caso di inutile decorso del termine di regolarizzazione, il concorrente è escluso dalla procedura di selezione.</w:t>
      </w:r>
    </w:p>
    <w:p>
      <w:pPr>
        <w:pStyle w:val="Normal"/>
        <w:jc w:val="both"/>
        <w:rPr/>
      </w:pPr>
      <w:r>
        <w:rPr>
          <w:color w:val="000000"/>
        </w:rPr>
        <w:t xml:space="preserve">Con la presentazione della suddetta manifestazione di interesse i proponenti, se selezionati, si impegnano a partecipare al partenariato, come previsto dal citato Bando, insieme agli ulteriori soggetti selezionati e a sviluppare e strutturare il progetto nella sua interezza e complessità. L’Amministrazione comunale, se non valuterà la proposta idonea, potrà proporre al candidato altre forme di partecipazione in qualità di </w:t>
      </w:r>
      <w:r>
        <w:rPr>
          <w:i/>
          <w:iCs/>
          <w:color w:val="000000"/>
        </w:rPr>
        <w:t>stakeholder</w:t>
      </w:r>
      <w:r>
        <w:rPr>
          <w:color w:val="000000"/>
        </w:rPr>
        <w:t>. In questo caso il soggetto proponente potrà accettare o rifiutare la proposta dell’Amministrazione.</w:t>
      </w:r>
    </w:p>
    <w:p>
      <w:pPr>
        <w:pStyle w:val="Heading1"/>
        <w:numPr>
          <w:ilvl w:val="0"/>
          <w:numId w:val="1"/>
        </w:numPr>
        <w:tabs>
          <w:tab w:val="clear" w:pos="709"/>
          <w:tab w:val="left" w:pos="1515" w:leader="none"/>
        </w:tabs>
        <w:spacing w:before="240" w:after="240"/>
        <w:ind w:hanging="358" w:left="0"/>
        <w:rPr>
          <w:color w:val="000000"/>
        </w:rPr>
      </w:pPr>
      <w:r>
        <w:rPr/>
        <w:t>ESAME DELLE PROPOSTE E SUCCESSIVE FASI DI LAVORO</w:t>
      </w:r>
    </w:p>
    <w:p>
      <w:pPr>
        <w:pStyle w:val="Normal"/>
        <w:numPr>
          <w:ilvl w:val="1"/>
          <w:numId w:val="1"/>
        </w:numPr>
        <w:tabs>
          <w:tab w:val="clear" w:pos="709"/>
          <w:tab w:val="left" w:pos="741" w:leader="none"/>
        </w:tabs>
        <w:ind w:hanging="304" w:left="0"/>
        <w:jc w:val="both"/>
        <w:rPr>
          <w:b/>
          <w:bCs/>
          <w:color w:val="000000"/>
        </w:rPr>
      </w:pPr>
      <w:r>
        <w:rPr>
          <w:b/>
          <w:bCs/>
          <w:color w:val="000000"/>
          <w:u w:val="single"/>
        </w:rPr>
        <w:t xml:space="preserve"> </w:t>
      </w:r>
      <w:r>
        <w:rPr>
          <w:b/>
          <w:bCs/>
          <w:color w:val="000000"/>
          <w:u w:val="single"/>
        </w:rPr>
        <w:t>MODALITA’ DI VALUTAZIONE</w:t>
      </w:r>
    </w:p>
    <w:p>
      <w:pPr>
        <w:pStyle w:val="Normal"/>
        <w:rPr>
          <w:b/>
          <w:bCs/>
          <w:color w:val="000000"/>
        </w:rPr>
      </w:pPr>
      <w:r>
        <w:rPr>
          <w:b/>
          <w:bCs/>
          <w:color w:val="000000"/>
        </w:rPr>
      </w:r>
    </w:p>
    <w:p>
      <w:pPr>
        <w:pStyle w:val="Normal"/>
        <w:rPr>
          <w:color w:val="000000"/>
        </w:rPr>
      </w:pPr>
      <w:r>
        <w:rPr>
          <w:color w:val="000000"/>
        </w:rPr>
        <w:t xml:space="preserve">Una Commissione Tecnica formata da Dirigenti e Funzionari del Comune di </w:t>
      </w:r>
      <w:r>
        <w:rPr/>
        <w:t xml:space="preserve">Reggio Emilia </w:t>
      </w:r>
      <w:r>
        <w:rPr>
          <w:color w:val="000000"/>
        </w:rPr>
        <w:t>avrà il compito di scegliere il partenariato: essa si riunirà entro 7 giorni dalla scadenza del presente invito e procederà a:</w:t>
      </w:r>
    </w:p>
    <w:p>
      <w:pPr>
        <w:pStyle w:val="Normal"/>
        <w:numPr>
          <w:ilvl w:val="0"/>
          <w:numId w:val="5"/>
        </w:numPr>
        <w:tabs>
          <w:tab w:val="clear" w:pos="709"/>
          <w:tab w:val="left" w:pos="436" w:leader="none"/>
        </w:tabs>
        <w:spacing w:lineRule="auto" w:line="259"/>
        <w:ind w:hanging="360" w:left="0"/>
        <w:rPr>
          <w:color w:val="000000"/>
        </w:rPr>
      </w:pPr>
      <w:r>
        <w:rPr>
          <w:color w:val="000000"/>
        </w:rPr>
        <w:t>Verificare l’ammissibilità dei singoli soggetti candidati</w:t>
      </w:r>
    </w:p>
    <w:p>
      <w:pPr>
        <w:pStyle w:val="Normal"/>
        <w:numPr>
          <w:ilvl w:val="0"/>
          <w:numId w:val="5"/>
        </w:numPr>
        <w:tabs>
          <w:tab w:val="clear" w:pos="709"/>
          <w:tab w:val="left" w:pos="436" w:leader="none"/>
        </w:tabs>
        <w:spacing w:lineRule="auto" w:line="259"/>
        <w:ind w:hanging="360" w:left="0"/>
        <w:rPr/>
      </w:pPr>
      <w:r>
        <w:rPr>
          <w:color w:val="000000"/>
        </w:rPr>
        <w:t>Valutare le candidature dei soggetti ammissibili in base ai seguenti criteri:</w:t>
      </w:r>
    </w:p>
    <w:p>
      <w:pPr>
        <w:pStyle w:val="Normal"/>
        <w:tabs>
          <w:tab w:val="clear" w:pos="709"/>
          <w:tab w:val="left" w:pos="436" w:leader="none"/>
        </w:tabs>
        <w:spacing w:lineRule="auto" w:line="259"/>
        <w:rPr/>
      </w:pPr>
      <w:r>
        <w:rPr/>
      </w:r>
    </w:p>
    <w:p>
      <w:pPr>
        <w:pStyle w:val="Normal"/>
        <w:rPr>
          <w:color w:val="000000"/>
          <w:sz w:val="20"/>
          <w:szCs w:val="20"/>
        </w:rPr>
      </w:pPr>
      <w:r>
        <w:rPr>
          <w:color w:val="000000"/>
          <w:sz w:val="20"/>
          <w:szCs w:val="20"/>
        </w:rPr>
      </w:r>
    </w:p>
    <w:tbl>
      <w:tblPr>
        <w:tblW w:w="9449" w:type="dxa"/>
        <w:jc w:val="left"/>
        <w:tblInd w:w="501" w:type="dxa"/>
        <w:tblLayout w:type="fixed"/>
        <w:tblCellMar>
          <w:top w:w="0" w:type="dxa"/>
          <w:left w:w="108" w:type="dxa"/>
          <w:bottom w:w="0" w:type="dxa"/>
          <w:right w:w="108" w:type="dxa"/>
        </w:tblCellMar>
        <w:tblLook w:firstRow="0" w:noVBand="0" w:lastRow="0" w:firstColumn="0" w:lastColumn="0" w:noHBand="0" w:val="0000"/>
      </w:tblPr>
      <w:tblGrid>
        <w:gridCol w:w="3193"/>
        <w:gridCol w:w="6255"/>
      </w:tblGrid>
      <w:tr>
        <w:trPr>
          <w:trHeight w:val="1386" w:hRule="atLeast"/>
        </w:trPr>
        <w:tc>
          <w:tcPr>
            <w:tcW w:w="3193" w:type="dxa"/>
            <w:tcBorders/>
          </w:tcPr>
          <w:p>
            <w:pPr>
              <w:pStyle w:val="Normal"/>
              <w:rPr/>
            </w:pPr>
            <w:r>
              <w:rPr>
                <w:color w:val="000000"/>
              </w:rPr>
              <w:t>MAX 5 PUNTI</w:t>
            </w:r>
          </w:p>
        </w:tc>
        <w:tc>
          <w:tcPr>
            <w:tcW w:w="6255" w:type="dxa"/>
            <w:tcBorders/>
          </w:tcPr>
          <w:p>
            <w:pPr>
              <w:pStyle w:val="Normal"/>
              <w:jc w:val="both"/>
              <w:rPr/>
            </w:pPr>
            <w:r>
              <w:rPr>
                <w:color w:val="000000"/>
              </w:rPr>
              <w:t>Coerenza metodologica: Coerenza, innovatività e qualità della metodologia proposta per la partecipazione alle fasi di ideazione, definizione e realizzazione del progetto.</w:t>
            </w:r>
          </w:p>
        </w:tc>
      </w:tr>
      <w:tr>
        <w:trPr>
          <w:trHeight w:val="1389" w:hRule="atLeast"/>
        </w:trPr>
        <w:tc>
          <w:tcPr>
            <w:tcW w:w="3193" w:type="dxa"/>
            <w:tcBorders/>
          </w:tcPr>
          <w:p>
            <w:pPr>
              <w:pStyle w:val="Normal"/>
              <w:rPr/>
            </w:pPr>
            <w:r>
              <w:rPr>
                <w:color w:val="000000"/>
              </w:rPr>
              <w:t>MAX 10 PUNTI</w:t>
            </w:r>
          </w:p>
        </w:tc>
        <w:tc>
          <w:tcPr>
            <w:tcW w:w="6255" w:type="dxa"/>
            <w:tcBorders/>
          </w:tcPr>
          <w:p>
            <w:pPr>
              <w:pStyle w:val="Normal"/>
              <w:jc w:val="both"/>
              <w:rPr>
                <w:color w:val="000000"/>
              </w:rPr>
            </w:pPr>
            <w:r>
              <w:rPr>
                <w:color w:val="000000"/>
              </w:rPr>
              <w:t>Esperienza tematica: Ampiezza e rilevanza dell’esperienza nella progettazione e realizzazione di soluzioni innovative rispetto</w:t>
            </w:r>
          </w:p>
          <w:p>
            <w:pPr>
              <w:pStyle w:val="Normal"/>
              <w:spacing w:lineRule="auto" w:line="252"/>
              <w:jc w:val="both"/>
              <w:rPr/>
            </w:pPr>
            <w:r>
              <w:rPr>
                <w:color w:val="000000"/>
              </w:rPr>
              <w:t>alla tematica di interesse per la call</w:t>
            </w:r>
            <w:r>
              <w:rPr>
                <w:strike/>
                <w:color w:val="FF0000"/>
              </w:rPr>
              <w:t xml:space="preserve"> </w:t>
            </w:r>
            <w:r>
              <w:rPr>
                <w:color w:val="000000"/>
              </w:rPr>
              <w:t>e all’idea progettuale delineata dall’avviso all’articolo 1.3</w:t>
            </w:r>
          </w:p>
        </w:tc>
      </w:tr>
    </w:tbl>
    <w:p>
      <w:pPr>
        <w:sectPr>
          <w:headerReference w:type="even" r:id="rId4"/>
          <w:headerReference w:type="default" r:id="rId5"/>
          <w:headerReference w:type="first" r:id="rId6"/>
          <w:type w:val="nextPage"/>
          <w:pgSz w:w="11906" w:h="16838"/>
          <w:pgMar w:left="1134" w:right="1134" w:gutter="0" w:header="567" w:top="1417" w:footer="0" w:bottom="1134"/>
          <w:pgNumType w:fmt="decimal"/>
          <w:formProt w:val="false"/>
          <w:textDirection w:val="lrTb"/>
          <w:docGrid w:type="default" w:linePitch="299" w:charSpace="0"/>
        </w:sectPr>
      </w:pPr>
    </w:p>
    <w:p>
      <w:pPr>
        <w:pStyle w:val="Normal"/>
        <w:rPr>
          <w:color w:val="000000"/>
          <w:sz w:val="2"/>
          <w:szCs w:val="2"/>
        </w:rPr>
      </w:pPr>
      <w:r>
        <w:rPr>
          <w:color w:val="000000"/>
          <w:sz w:val="2"/>
          <w:szCs w:val="2"/>
        </w:rPr>
      </w:r>
    </w:p>
    <w:tbl>
      <w:tblPr>
        <w:tblW w:w="9451" w:type="dxa"/>
        <w:jc w:val="left"/>
        <w:tblInd w:w="501" w:type="dxa"/>
        <w:tblLayout w:type="fixed"/>
        <w:tblCellMar>
          <w:top w:w="0" w:type="dxa"/>
          <w:left w:w="108" w:type="dxa"/>
          <w:bottom w:w="0" w:type="dxa"/>
          <w:right w:w="108" w:type="dxa"/>
        </w:tblCellMar>
        <w:tblLook w:firstRow="0" w:noVBand="0" w:lastRow="0" w:firstColumn="0" w:lastColumn="0" w:noHBand="0" w:val="0000"/>
      </w:tblPr>
      <w:tblGrid>
        <w:gridCol w:w="3189"/>
        <w:gridCol w:w="6261"/>
      </w:tblGrid>
      <w:tr>
        <w:trPr>
          <w:trHeight w:val="1388" w:hRule="atLeast"/>
        </w:trPr>
        <w:tc>
          <w:tcPr>
            <w:tcW w:w="3189" w:type="dxa"/>
            <w:tcBorders/>
          </w:tcPr>
          <w:p>
            <w:pPr>
              <w:pStyle w:val="Normal"/>
              <w:rPr/>
            </w:pPr>
            <w:r>
              <w:rPr>
                <w:color w:val="000000"/>
              </w:rPr>
              <w:t>MAX 5 PUNTI</w:t>
            </w:r>
          </w:p>
        </w:tc>
        <w:tc>
          <w:tcPr>
            <w:tcW w:w="6261" w:type="dxa"/>
            <w:tcBorders/>
          </w:tcPr>
          <w:p>
            <w:pPr>
              <w:pStyle w:val="Normal"/>
              <w:jc w:val="both"/>
              <w:rPr/>
            </w:pPr>
            <w:r>
              <w:rPr>
                <w:color w:val="000000"/>
              </w:rPr>
              <w:t>Esperienza progettuale: Ampiezza e rilevanza dell’esperienza nella partecipazione o conduzione di progetti complessi e in particolare progetti finanziati dall’Unione Europea.</w:t>
            </w:r>
          </w:p>
        </w:tc>
      </w:tr>
      <w:tr>
        <w:trPr>
          <w:trHeight w:val="1388" w:hRule="atLeast"/>
        </w:trPr>
        <w:tc>
          <w:tcPr>
            <w:tcW w:w="3189" w:type="dxa"/>
            <w:tcBorders/>
          </w:tcPr>
          <w:p>
            <w:pPr>
              <w:pStyle w:val="Normal"/>
              <w:rPr>
                <w:color w:val="000000"/>
              </w:rPr>
            </w:pPr>
            <w:r>
              <w:rPr>
                <w:color w:val="000000"/>
              </w:rPr>
              <w:t>M AX 10 PUNTI</w:t>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pPr>
            <w:r>
              <w:rPr>
                <w:color w:val="000000"/>
              </w:rPr>
              <w:t>M AX 5 PUNTI</w:t>
            </w:r>
          </w:p>
        </w:tc>
        <w:tc>
          <w:tcPr>
            <w:tcW w:w="6261" w:type="dxa"/>
            <w:tcBorders/>
          </w:tcPr>
          <w:p>
            <w:pPr>
              <w:pStyle w:val="Normal"/>
              <w:jc w:val="both"/>
              <w:rPr>
                <w:color w:val="000000"/>
              </w:rPr>
            </w:pPr>
            <w:r>
              <w:rPr>
                <w:color w:val="000000"/>
              </w:rPr>
              <w:t>Pertinenza del soggetto e della proposta: innovatività e valore aggiunto dell’azione proposta e coerenza e complementarietà del</w:t>
            </w:r>
          </w:p>
          <w:p>
            <w:pPr>
              <w:pStyle w:val="Normal"/>
              <w:spacing w:lineRule="auto" w:line="252"/>
              <w:jc w:val="both"/>
              <w:rPr>
                <w:color w:val="000000"/>
              </w:rPr>
            </w:pPr>
            <w:r>
              <w:rPr>
                <w:color w:val="000000"/>
              </w:rPr>
              <w:t>soggetto e delle sue competenze ed expertise nell’ambito del costituendo partenariato.</w:t>
            </w:r>
          </w:p>
          <w:p>
            <w:pPr>
              <w:pStyle w:val="Normal"/>
              <w:spacing w:lineRule="auto" w:line="252"/>
              <w:jc w:val="both"/>
              <w:rPr>
                <w:color w:val="000000"/>
              </w:rPr>
            </w:pPr>
            <w:r>
              <w:rPr>
                <w:color w:val="000000"/>
              </w:rPr>
            </w:r>
          </w:p>
          <w:p>
            <w:pPr>
              <w:pStyle w:val="Normal"/>
              <w:spacing w:lineRule="auto" w:line="252"/>
              <w:jc w:val="both"/>
              <w:rPr>
                <w:color w:val="000000"/>
              </w:rPr>
            </w:pPr>
            <w:r>
              <w:rPr>
                <w:color w:val="000000"/>
              </w:rPr>
            </w:r>
          </w:p>
          <w:p>
            <w:pPr>
              <w:pStyle w:val="Normal"/>
              <w:spacing w:lineRule="auto" w:line="252"/>
              <w:jc w:val="both"/>
              <w:rPr>
                <w:highlight w:val="none"/>
                <w:shd w:fill="auto" w:val="clear"/>
              </w:rPr>
            </w:pPr>
            <w:r>
              <w:rPr>
                <w:color w:val="000000"/>
                <w:shd w:fill="auto" w:val="clear"/>
              </w:rPr>
              <w:t>Esperienza di lavoro e di progettualità sviluppate nell’area di interesse per la proposta progettuale e/o con attori strategici presenti nell’area.</w:t>
            </w:r>
          </w:p>
          <w:p>
            <w:pPr>
              <w:pStyle w:val="Normal"/>
              <w:spacing w:lineRule="auto" w:line="252"/>
              <w:jc w:val="both"/>
              <w:rPr>
                <w:color w:val="000000"/>
              </w:rPr>
            </w:pPr>
            <w:r>
              <w:rPr>
                <w:color w:val="000000"/>
              </w:rPr>
            </w:r>
          </w:p>
          <w:p>
            <w:pPr>
              <w:pStyle w:val="Normal"/>
              <w:spacing w:lineRule="auto" w:line="252"/>
              <w:jc w:val="both"/>
              <w:rPr>
                <w:color w:val="000000"/>
              </w:rPr>
            </w:pPr>
            <w:r>
              <w:rPr>
                <w:color w:val="000000"/>
              </w:rPr>
            </w:r>
          </w:p>
          <w:p>
            <w:pPr>
              <w:pStyle w:val="Normal"/>
              <w:spacing w:lineRule="auto" w:line="252"/>
              <w:jc w:val="both"/>
              <w:rPr>
                <w:color w:val="000000"/>
              </w:rPr>
            </w:pPr>
            <w:r>
              <w:rPr>
                <w:color w:val="000000"/>
              </w:rPr>
            </w:r>
          </w:p>
          <w:p>
            <w:pPr>
              <w:pStyle w:val="Normal"/>
              <w:spacing w:lineRule="auto" w:line="252"/>
              <w:jc w:val="both"/>
              <w:rPr>
                <w:color w:val="000000"/>
              </w:rPr>
            </w:pPr>
            <w:r>
              <w:rPr>
                <w:color w:val="000000"/>
              </w:rPr>
            </w:r>
          </w:p>
          <w:p>
            <w:pPr>
              <w:pStyle w:val="Normal"/>
              <w:spacing w:lineRule="auto" w:line="252"/>
              <w:jc w:val="both"/>
              <w:rPr/>
            </w:pPr>
            <w:r>
              <w:rPr/>
            </w:r>
          </w:p>
        </w:tc>
      </w:tr>
    </w:tbl>
    <w:p>
      <w:pPr>
        <w:pStyle w:val="Normal"/>
        <w:jc w:val="both"/>
        <w:rPr>
          <w:color w:val="000000"/>
        </w:rPr>
      </w:pPr>
      <w:r>
        <w:rPr>
          <w:color w:val="000000"/>
        </w:rPr>
      </w:r>
    </w:p>
    <w:p>
      <w:pPr>
        <w:pStyle w:val="Normal"/>
        <w:jc w:val="both"/>
        <w:rPr>
          <w:color w:val="000000"/>
        </w:rPr>
      </w:pPr>
      <w:r>
        <w:rPr>
          <w:color w:val="000000"/>
        </w:rPr>
        <w:t xml:space="preserve">La Commissione procederà quindi all’individuazione del partenariato con cui procedere alla candidatura tra i soggetti che avranno ottenuto un punteggio di almeno </w:t>
      </w:r>
      <w:r>
        <w:rPr>
          <w:rFonts w:eastAsia="NSimSun" w:cs="Arial Unicode MS"/>
          <w:color w:val="000000"/>
          <w:shd w:fill="auto" w:val="clear"/>
          <w:lang w:eastAsia="zh-CN" w:bidi="hi-IN"/>
        </w:rPr>
        <w:t>2</w:t>
      </w:r>
      <w:r>
        <w:rPr>
          <w:color w:val="000000"/>
          <w:shd w:fill="auto" w:val="clear"/>
        </w:rPr>
        <w:t>4/35</w:t>
      </w:r>
      <w:r>
        <w:rPr>
          <w:color w:val="000000"/>
        </w:rPr>
        <w:t xml:space="preserve"> e la RUP, recepito l’esito dei lavori della Commissione, darà comunicazione degli esiti ai candidati.</w:t>
      </w:r>
    </w:p>
    <w:p>
      <w:pPr>
        <w:pStyle w:val="Normal"/>
        <w:jc w:val="both"/>
        <w:rPr>
          <w:color w:val="000000"/>
        </w:rPr>
      </w:pPr>
      <w:r>
        <w:rPr>
          <w:color w:val="000000"/>
        </w:rPr>
        <w:t>Si ricorda che in ogni caso, il presente avviso non intende porre in essere alcuna procedura concorsuale e non prevede graduatorie, attribuzioni di punteggio e/o altre classificazioni di merito, né comporta diritto alcuno di ottenere un incarico professionale o un contributo da parte del Comune.</w:t>
      </w:r>
    </w:p>
    <w:p>
      <w:pPr>
        <w:pStyle w:val="Normal"/>
        <w:jc w:val="both"/>
        <w:rPr>
          <w:color w:val="000000"/>
        </w:rPr>
      </w:pPr>
      <w:r>
        <w:rPr>
          <w:color w:val="000000"/>
        </w:rPr>
        <w:t>In ogni caso, l’Amministrazione si riserva la facoltà di non procedere all’individuazione di nessuna domanda se nessuna manifestazione d’interesse risulti, a giudizio dell’Amministrazione, idonea in relazione all’oggetto dell’avviso. Inoltre, l’Amministrazione</w:t>
      </w:r>
      <w:bookmarkStart w:id="1" w:name="_GoBack"/>
      <w:bookmarkEnd w:id="1"/>
      <w:r>
        <w:rPr>
          <w:color w:val="000000"/>
        </w:rPr>
        <w:t>,</w:t>
      </w:r>
      <w:r>
        <w:rPr>
          <w:color w:val="000000"/>
          <w:shd w:fill="auto" w:val="clear"/>
        </w:rPr>
        <w:t xml:space="preserve"> </w:t>
      </w:r>
      <w:r>
        <w:rPr>
          <w:color w:val="000000"/>
          <w:u w:val="single"/>
          <w:shd w:fill="auto" w:val="clear"/>
        </w:rPr>
        <w:t>nel caso in cui non individuasse attraverso il presente avviso competenze ed expertise necessarie alla progettazione dell’azione, si riserva la facoltà di coinvolgere specifiche competenze ed expertise.</w:t>
      </w:r>
    </w:p>
    <w:p>
      <w:pPr>
        <w:pStyle w:val="Normal"/>
        <w:jc w:val="both"/>
        <w:rPr>
          <w:color w:val="000000"/>
        </w:rPr>
      </w:pPr>
      <w:r>
        <w:rPr>
          <w:color w:val="000000"/>
        </w:rPr>
      </w:r>
    </w:p>
    <w:p>
      <w:pPr>
        <w:pStyle w:val="Normal"/>
        <w:rPr>
          <w:color w:val="000000"/>
        </w:rPr>
      </w:pPr>
      <w:r>
        <w:rPr>
          <w:color w:val="000000"/>
        </w:rPr>
      </w:r>
    </w:p>
    <w:p>
      <w:pPr>
        <w:pStyle w:val="Normal"/>
        <w:numPr>
          <w:ilvl w:val="1"/>
          <w:numId w:val="1"/>
        </w:numPr>
        <w:tabs>
          <w:tab w:val="clear" w:pos="709"/>
          <w:tab w:val="left" w:pos="741" w:leader="none"/>
        </w:tabs>
        <w:ind w:hanging="304" w:left="0"/>
        <w:jc w:val="both"/>
        <w:rPr>
          <w:b/>
          <w:bCs/>
          <w:color w:val="000000"/>
        </w:rPr>
      </w:pPr>
      <w:r>
        <w:rPr>
          <w:b/>
          <w:bCs/>
          <w:color w:val="000000"/>
          <w:u w:val="single"/>
        </w:rPr>
        <w:t>SUCCESSIVE FASI DI LAVORO</w:t>
      </w:r>
    </w:p>
    <w:p>
      <w:pPr>
        <w:pStyle w:val="Normal"/>
        <w:rPr>
          <w:b/>
          <w:bCs/>
          <w:color w:val="000000"/>
        </w:rPr>
      </w:pPr>
      <w:r>
        <w:rPr>
          <w:b/>
          <w:bCs/>
          <w:color w:val="000000"/>
        </w:rPr>
      </w:r>
    </w:p>
    <w:p>
      <w:pPr>
        <w:pStyle w:val="Normal"/>
        <w:jc w:val="both"/>
        <w:rPr>
          <w:color w:val="000000"/>
        </w:rPr>
      </w:pPr>
      <w:r>
        <w:rPr>
          <w:color w:val="000000"/>
        </w:rPr>
        <w:t xml:space="preserve">All’insieme dei Delivery Partner ammessi sarà offerta la possibilità di partecipare al tavolo di co-progettazione, finalizzato alla redazione del progetto in risposta al bando EUI, coordinato dal Comune di </w:t>
      </w:r>
      <w:r>
        <w:rPr/>
        <w:t xml:space="preserve">Reggio Emilia </w:t>
      </w:r>
      <w:r>
        <w:rPr>
          <w:color w:val="000000"/>
        </w:rPr>
        <w:t xml:space="preserve">e partecipato anche finanziariamente dai partner con i quali saranno sottoscritti, in un secondo momento, accordi dedicati nell’ambito del progetto nonché nel rispetto della normativa vigente. La coprogettazione prevederà incontri di gruppo (almeno 2) e incontri bilaterali, sostenuti da documenti di sintesi e di progettazione utili alla candidatura e alla finalizzazione dei documenti del bando. </w:t>
      </w:r>
    </w:p>
    <w:p>
      <w:pPr>
        <w:pStyle w:val="Normal"/>
        <w:jc w:val="both"/>
        <w:rPr>
          <w:color w:val="000000"/>
        </w:rPr>
      </w:pPr>
      <w:r>
        <w:rPr>
          <w:color w:val="000000"/>
        </w:rPr>
        <w:t>Sino al momento della candidatura il partenariato è suscettibile di modulazioni finalizzate alla buona costruzione del progetto.</w:t>
      </w:r>
    </w:p>
    <w:p>
      <w:pPr>
        <w:pStyle w:val="Normal"/>
        <w:jc w:val="both"/>
        <w:rPr>
          <w:b w:val="false"/>
          <w:bCs w:val="false"/>
          <w:color w:val="000000"/>
        </w:rPr>
      </w:pPr>
      <w:r>
        <w:rPr>
          <w:b w:val="false"/>
          <w:bCs w:val="false"/>
          <w:color w:val="000000"/>
        </w:rPr>
        <w:t>Il budget che verrà assegnato ai delivery partner individuati sarà definito sulla base della co-progettazione del budget complessivo di progetto che verrà definito nel percorso.</w:t>
      </w:r>
    </w:p>
    <w:p>
      <w:pPr>
        <w:pStyle w:val="Normal"/>
        <w:spacing w:lineRule="auto" w:line="247"/>
        <w:jc w:val="both"/>
        <w:rPr>
          <w:highlight w:val="yellow"/>
        </w:rPr>
      </w:pPr>
      <w:r>
        <w:rPr>
          <w:highlight w:val="yellow"/>
        </w:rPr>
      </w:r>
    </w:p>
    <w:p>
      <w:pPr>
        <w:pStyle w:val="Normal"/>
        <w:spacing w:lineRule="auto" w:line="247"/>
        <w:jc w:val="both"/>
        <w:rPr>
          <w:highlight w:val="none"/>
          <w:shd w:fill="auto" w:val="clear"/>
        </w:rPr>
      </w:pPr>
      <w:r>
        <w:rPr>
          <w:rFonts w:eastAsia="NSimSun" w:cs="Arial Unicode MS"/>
          <w:color w:val="000000"/>
          <w:shd w:fill="auto" w:val="clear"/>
          <w:lang w:eastAsia="zh-CN" w:bidi="hi-IN"/>
        </w:rPr>
        <w:t xml:space="preserve">Le fasi di lavoro si svolgeranno secondo il seguente calendario </w:t>
      </w:r>
      <w:r>
        <w:rPr>
          <w:rFonts w:eastAsia="NSimSun" w:cs="Arial Unicode MS"/>
          <w:color w:val="000000"/>
          <w:u w:val="single"/>
          <w:shd w:fill="auto" w:val="clear"/>
          <w:lang w:eastAsia="zh-CN" w:bidi="hi-IN"/>
        </w:rPr>
        <w:t>indicativo:</w:t>
      </w:r>
    </w:p>
    <w:p>
      <w:pPr>
        <w:pStyle w:val="Normal"/>
        <w:jc w:val="both"/>
        <w:rPr>
          <w:highlight w:val="none"/>
          <w:shd w:fill="auto" w:val="clear"/>
        </w:rPr>
      </w:pPr>
      <w:r>
        <w:rPr>
          <w:shd w:fill="auto" w:val="clear"/>
        </w:rPr>
        <w:t>15.05.2026</w:t>
      </w:r>
      <w:r>
        <w:rPr>
          <w:rFonts w:eastAsia="NSimSun" w:cs="Arial Unicode MS"/>
          <w:color w:val="000000"/>
          <w:shd w:fill="auto" w:val="clear"/>
          <w:lang w:eastAsia="zh-CN" w:bidi="hi-IN"/>
        </w:rPr>
        <w:t xml:space="preserve">: </w:t>
      </w:r>
      <w:r>
        <w:rPr>
          <w:color w:val="000000"/>
          <w:shd w:fill="auto" w:val="clear"/>
        </w:rPr>
        <w:t>s</w:t>
      </w:r>
      <w:r>
        <w:rPr>
          <w:rFonts w:eastAsia="NSimSun" w:cs="Arial Unicode MS"/>
          <w:color w:val="000000"/>
          <w:shd w:fill="auto" w:val="clear"/>
          <w:lang w:eastAsia="zh-CN" w:bidi="hi-IN"/>
        </w:rPr>
        <w:t>cadenza del bando</w:t>
      </w:r>
    </w:p>
    <w:p>
      <w:pPr>
        <w:pStyle w:val="Normal"/>
        <w:rPr>
          <w:highlight w:val="none"/>
          <w:shd w:fill="auto" w:val="clear"/>
        </w:rPr>
      </w:pPr>
      <w:r>
        <w:rPr>
          <w:color w:val="000000"/>
          <w:shd w:fill="auto" w:val="clear"/>
        </w:rPr>
        <w:t>20.05.2026</w:t>
      </w:r>
      <w:r>
        <w:rPr>
          <w:rFonts w:eastAsia="NSimSun" w:cs="Arial Unicode MS"/>
          <w:color w:val="000000"/>
          <w:shd w:fill="auto" w:val="clear"/>
          <w:lang w:eastAsia="zh-CN" w:bidi="hi-IN"/>
        </w:rPr>
        <w:t>: comunicazione degli esiti del vaglio delle proposte via email;</w:t>
      </w:r>
    </w:p>
    <w:p>
      <w:pPr>
        <w:pStyle w:val="Normal"/>
        <w:spacing w:lineRule="auto" w:line="252"/>
        <w:rPr>
          <w:highlight w:val="none"/>
          <w:shd w:fill="auto" w:val="clear"/>
        </w:rPr>
      </w:pPr>
      <w:r>
        <w:rPr>
          <w:shd w:fill="auto" w:val="clear"/>
        </w:rPr>
        <w:t>21.05.2026 - 03.06.2026: 2 riunioni di co-progettazione con i Delivery Partner selezionati</w:t>
      </w:r>
    </w:p>
    <w:p>
      <w:pPr>
        <w:pStyle w:val="Normal"/>
        <w:spacing w:lineRule="auto" w:line="252"/>
        <w:rPr>
          <w:highlight w:val="none"/>
          <w:shd w:fill="auto" w:val="clear"/>
        </w:rPr>
      </w:pPr>
      <w:r>
        <w:rPr>
          <w:shd w:fill="auto" w:val="clear"/>
        </w:rPr>
        <w:t>04.06.2026 - 10.06.2026: elaborazioni a distanza;</w:t>
      </w:r>
    </w:p>
    <w:p>
      <w:pPr>
        <w:pStyle w:val="Normal"/>
        <w:jc w:val="both"/>
        <w:rPr>
          <w:highlight w:val="none"/>
          <w:shd w:fill="auto" w:val="clear"/>
        </w:rPr>
      </w:pPr>
      <w:r>
        <w:rPr>
          <w:shd w:fill="auto" w:val="clear"/>
        </w:rPr>
        <w:t xml:space="preserve">12.06.2026 </w:t>
      </w:r>
      <w:r>
        <w:rPr>
          <w:color w:val="000000"/>
          <w:shd w:fill="auto" w:val="clear"/>
        </w:rPr>
        <w:t>: data ultima per la raccolta delle schede “partner” definitive da inserire nella candidatura</w:t>
      </w:r>
    </w:p>
    <w:p>
      <w:pPr>
        <w:pStyle w:val="Normal"/>
        <w:jc w:val="both"/>
        <w:rPr>
          <w:color w:val="000000"/>
        </w:rPr>
      </w:pPr>
      <w:r>
        <w:rPr>
          <w:color w:val="000000"/>
        </w:rPr>
      </w:r>
    </w:p>
    <w:p>
      <w:pPr>
        <w:pStyle w:val="Normal"/>
        <w:jc w:val="both"/>
        <w:rPr>
          <w:color w:val="000000"/>
        </w:rPr>
      </w:pPr>
      <w:r>
        <w:rPr>
          <w:color w:val="000000"/>
        </w:rPr>
        <w:t>La partecipazione al processo di costruzione del partenariato e della candidatura è un’attività volontaria, collaborativa e collettiva e non configura in alcun modo l’instaurarsi di rapporti di servizio o la maturazione di diritti a compensi da parte dei potenziali partner.</w:t>
      </w:r>
    </w:p>
    <w:p>
      <w:pPr>
        <w:pStyle w:val="Normal"/>
        <w:jc w:val="both"/>
        <w:rPr>
          <w:color w:val="000000"/>
        </w:rPr>
      </w:pPr>
      <w:r>
        <w:rPr>
          <w:color w:val="000000"/>
        </w:rPr>
        <w:t xml:space="preserve">Qualora il progetto presentato non venga approvato - per qualunque motivo - il soggetto proponente non potrà richiedere al Comune di </w:t>
      </w:r>
      <w:r>
        <w:rPr/>
        <w:t xml:space="preserve">Reggio Emilia </w:t>
      </w:r>
      <w:r>
        <w:rPr>
          <w:color w:val="000000"/>
        </w:rPr>
        <w:t xml:space="preserve">alcuna forma di compenso nemmeno a titolo di indennità, risarcimento o altro emolumento comunque denominato e il Comune di </w:t>
      </w:r>
      <w:r>
        <w:rPr/>
        <w:t xml:space="preserve">Reggio Emilia </w:t>
      </w:r>
      <w:r>
        <w:rPr>
          <w:color w:val="000000"/>
        </w:rPr>
        <w:t>potrà, a suo insindacabile giudizio, ripresentare il progetto, opportunamente riveduto e corretto in accordo con il soggetto proponente, in successivi bandi comunitari o nazionali.</w:t>
      </w:r>
    </w:p>
    <w:p>
      <w:pPr>
        <w:pStyle w:val="Normal"/>
        <w:jc w:val="both"/>
        <w:rPr>
          <w:color w:val="000000"/>
        </w:rPr>
      </w:pPr>
      <w:r>
        <w:rPr>
          <w:color w:val="000000"/>
        </w:rPr>
        <w:t>Con i delivery partner scelti verranno stipulati accordi previsti dal bando e dalla normativa vigente. La presente proposta non dà origine ad alcun accordo di tipo economico, solo successivamente verrà definita l’eventuale quota di trasferimento del budget di progetto di competenza di ciascun Delivery Partner a seguito dell’approvazione del progetto da parte dell’Ente Finanziatore e, quindi, della firma della relativa Convenzione di Finanziamento con l’Ente Finanziatore, secondo i criteri e i tempi definiti dal bando EUI.</w:t>
      </w:r>
    </w:p>
    <w:p>
      <w:pPr>
        <w:pStyle w:val="Normal"/>
        <w:rPr>
          <w:color w:val="000000"/>
        </w:rPr>
      </w:pPr>
      <w:r>
        <w:rPr>
          <w:color w:val="000000"/>
        </w:rPr>
      </w:r>
    </w:p>
    <w:p>
      <w:pPr>
        <w:pStyle w:val="Normal"/>
        <w:numPr>
          <w:ilvl w:val="1"/>
          <w:numId w:val="1"/>
        </w:numPr>
        <w:tabs>
          <w:tab w:val="clear" w:pos="709"/>
          <w:tab w:val="left" w:pos="741" w:leader="none"/>
        </w:tabs>
        <w:ind w:hanging="304" w:left="0"/>
        <w:jc w:val="both"/>
        <w:rPr>
          <w:b/>
          <w:bCs/>
          <w:color w:val="000000"/>
        </w:rPr>
      </w:pPr>
      <w:r>
        <w:rPr>
          <w:b/>
          <w:bCs/>
          <w:color w:val="000000"/>
          <w:u w:val="single"/>
        </w:rPr>
        <w:t>RICHIESTE DI CHIARIMENTI E TRATTAMENTO DEI DATI</w:t>
      </w:r>
    </w:p>
    <w:p>
      <w:pPr>
        <w:pStyle w:val="Normal"/>
        <w:rPr>
          <w:b/>
          <w:bCs/>
          <w:color w:val="000000"/>
        </w:rPr>
      </w:pPr>
      <w:r>
        <w:rPr>
          <w:b/>
          <w:bCs/>
          <w:color w:val="000000"/>
        </w:rPr>
      </w:r>
    </w:p>
    <w:p>
      <w:pPr>
        <w:pStyle w:val="Normal"/>
        <w:rPr>
          <w:color w:val="000000"/>
        </w:rPr>
      </w:pPr>
      <w:r>
        <w:rPr>
          <w:rFonts w:eastAsia="NSimSun" w:cs="Arial Unicode MS"/>
          <w:color w:val="000000"/>
          <w:lang w:eastAsia="zh-CN" w:bidi="hi-IN"/>
        </w:rPr>
        <w:t xml:space="preserve">Per ulteriori informazioni e chiarimenti di carattere tecnico e sostanziale si prega di rivolgersi via EMAIL </w:t>
      </w:r>
      <w:r>
        <w:rPr>
          <w:rFonts w:eastAsia="NSimSun" w:cs="Arial Unicode MS"/>
          <w:b/>
          <w:bCs/>
          <w:color w:val="000000"/>
          <w:lang w:eastAsia="zh-CN" w:bidi="hi-IN"/>
        </w:rPr>
        <w:t>marialuna.fragomeni@comune.re.it</w:t>
      </w:r>
      <w:r>
        <w:rPr>
          <w:rFonts w:eastAsia="NSimSun" w:cs="Arial Unicode MS"/>
          <w:color w:val="000000"/>
          <w:lang w:eastAsia="zh-CN" w:bidi="hi-IN"/>
        </w:rPr>
        <w:t xml:space="preserve">;  </w:t>
      </w:r>
    </w:p>
    <w:p>
      <w:pPr>
        <w:pStyle w:val="Normal"/>
        <w:rPr>
          <w:rFonts w:ascii="Arial" w:hAnsi="Arial" w:eastAsia="Arial" w:cs="Arial"/>
          <w:color w:val="000000"/>
          <w:kern w:val="0"/>
          <w:sz w:val="22"/>
          <w:szCs w:val="22"/>
          <w:lang w:eastAsia="it-IT" w:bidi="ar-SA"/>
        </w:rPr>
      </w:pPr>
      <w:r>
        <w:rPr>
          <w:rFonts w:eastAsia="Arial" w:cs="Arial" w:ascii="Arial" w:hAnsi="Arial"/>
          <w:color w:val="000000"/>
          <w:kern w:val="0"/>
          <w:sz w:val="22"/>
          <w:szCs w:val="22"/>
          <w:lang w:eastAsia="it-IT" w:bidi="ar-SA"/>
        </w:rPr>
      </w:r>
    </w:p>
    <w:p>
      <w:pPr>
        <w:pStyle w:val="Normal"/>
        <w:jc w:val="both"/>
        <w:rPr>
          <w:color w:val="000000"/>
        </w:rPr>
      </w:pPr>
      <w:r>
        <w:rPr>
          <w:rFonts w:eastAsia="NSimSun" w:cs="Arial Unicode MS"/>
          <w:color w:val="000000"/>
          <w:kern w:val="2"/>
          <w:sz w:val="24"/>
          <w:szCs w:val="24"/>
          <w:lang w:eastAsia="zh-CN" w:bidi="hi-IN"/>
        </w:rPr>
        <w:t>I quesiti andranno inviati entro e non oltre il giorno 11.05.26 indicando nell’oggetto “Manifestazione interesse EUI-IA: richiesta chiarimenti”.</w:t>
      </w:r>
    </w:p>
    <w:p>
      <w:pPr>
        <w:pStyle w:val="Normal"/>
        <w:jc w:val="both"/>
        <w:rPr>
          <w:color w:val="000000"/>
        </w:rPr>
      </w:pPr>
      <w:r>
        <w:rPr>
          <w:rFonts w:eastAsia="Arial" w:cs="Arial" w:ascii="Carlito" w:hAnsi="Carlito"/>
          <w:color w:val="000000"/>
          <w:kern w:val="2"/>
          <w:sz w:val="24"/>
          <w:szCs w:val="24"/>
          <w:lang w:eastAsia="it-IT" w:bidi="ar-SA"/>
        </w:rPr>
        <w:t>Non verranno evase richieste di chiarimento pervenute con modalità diverse da quella sopra indicata.</w:t>
      </w:r>
    </w:p>
    <w:p>
      <w:pPr>
        <w:pStyle w:val="Normal"/>
        <w:jc w:val="both"/>
        <w:rPr>
          <w:color w:val="000000"/>
        </w:rPr>
      </w:pPr>
      <w:r>
        <w:rPr>
          <w:rFonts w:eastAsia="NSimSun" w:cs="Arial Unicode MS"/>
          <w:color w:val="000000"/>
          <w:kern w:val="2"/>
          <w:sz w:val="24"/>
          <w:szCs w:val="24"/>
          <w:lang w:eastAsia="zh-CN" w:bidi="hi-IN"/>
        </w:rPr>
        <w:t>Le risposte a tutte le richieste presentate in tempo utile verranno fornite entro 14.05.26, tramite mail e verranno pubblicate nella pagina del sito del Comune di Reggio Emilia dedicata alla manifestazione d’interesse di cui all’oggetto.</w:t>
      </w:r>
    </w:p>
    <w:p>
      <w:pPr>
        <w:pStyle w:val="Normal"/>
        <w:jc w:val="both"/>
        <w:rPr>
          <w:color w:val="000000"/>
        </w:rPr>
      </w:pPr>
      <w:r>
        <w:rPr>
          <w:rFonts w:eastAsia="Arial" w:cs="Arial"/>
          <w:strike w:val="false"/>
          <w:dstrike w:val="false"/>
          <w:color w:val="000000"/>
          <w:kern w:val="0"/>
          <w:sz w:val="22"/>
          <w:szCs w:val="22"/>
          <w:lang w:eastAsia="it-IT" w:bidi="ar-SA"/>
        </w:rPr>
        <w:t>Il trattamento dei dati avviene nei termini dell’informativa parte integrante dell’</w:t>
      </w:r>
      <w:r>
        <w:rPr>
          <w:strike w:val="false"/>
          <w:dstrike w:val="false"/>
          <w:color w:val="000000"/>
        </w:rPr>
        <w:t>istanza di partecipazione online</w:t>
      </w:r>
      <w:r>
        <w:rPr>
          <w:rFonts w:eastAsia="NSimSun" w:cs="Arial Unicode MS"/>
          <w:strike w:val="false"/>
          <w:dstrike w:val="false"/>
          <w:color w:val="000000"/>
          <w:lang w:eastAsia="zh-CN" w:bidi="hi-IN"/>
        </w:rPr>
        <w:t>.</w:t>
      </w:r>
    </w:p>
    <w:sectPr>
      <w:headerReference w:type="even" r:id="rId7"/>
      <w:headerReference w:type="default" r:id="rId8"/>
      <w:headerReference w:type="first" r:id="rId9"/>
      <w:type w:val="nextPage"/>
      <w:pgSz w:w="11906" w:h="16838"/>
      <w:pgMar w:left="1134" w:right="1134" w:gutter="0" w:header="720" w:top="1417" w:footer="0" w:bottom="1134"/>
      <w:pgNumType w:fmt="decimal"/>
      <w:formProt w:val="false"/>
      <w:textDirection w:val="lrTb"/>
      <w:docGrid w:type="default" w:linePitch="299"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swiss"/>
    <w:pitch w:val="default"/>
  </w:font>
  <w:font w:name="Trebuchet MS">
    <w:charset w:val="01"/>
    <w:family w:val="swiss"/>
    <w:pitch w:val="default"/>
  </w:font>
  <w:font w:name="Segoe UI">
    <w:charset w:val="01"/>
    <w:family w:val="swiss"/>
    <w:pitch w:val="default"/>
  </w:font>
  <w:font w:name="OpenSymbol">
    <w:altName w:val="Arial Unicode MS"/>
    <w:charset w:val="01"/>
    <w:family w:val="swiss"/>
    <w:pitch w:val="default"/>
  </w:font>
  <w:font w:name="Carlito">
    <w:altName w:val="Calibri"/>
    <w:charset w:val="01"/>
    <w:family w:val="swiss"/>
    <w:pitch w:val="default"/>
  </w:font>
  <w:font w:name="Arial">
    <w:charset w:val="01"/>
    <w:family w:val="swiss"/>
    <w:pitch w:val="default"/>
  </w:font>
  <w:font w:name="Noto Sans Symbols">
    <w:charset w:val="01"/>
    <w:family w:val="swiss"/>
    <w:pitch w:val="default"/>
  </w:font>
  <w:font w:name="Courier New">
    <w:charset w:val="01"/>
    <w:family w:val="modern"/>
    <w:pitch w:val="fixed"/>
  </w:font>
  <w:font w:name="Wingdings">
    <w:charset w:val="02"/>
    <w:family w:val="auto"/>
    <w:pitch w:val="variable"/>
  </w:font>
  <w:font w:name="Calibri">
    <w:charset w:val="01"/>
    <w:family w:val="swiss"/>
    <w:pitch w:val="variable"/>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1905000" cy="752475"/>
          <wp:effectExtent l="0" t="0" r="0" b="0"/>
          <wp:docPr id="1" name="Immagin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3" descr=""/>
                  <pic:cNvPicPr>
                    <a:picLocks noChangeAspect="1" noChangeArrowheads="1"/>
                  </pic:cNvPicPr>
                </pic:nvPicPr>
                <pic:blipFill>
                  <a:blip r:embed="rId1"/>
                  <a:stretch>
                    <a:fillRect/>
                  </a:stretch>
                </pic:blipFill>
                <pic:spPr bwMode="auto">
                  <a:xfrm>
                    <a:off x="0" y="0"/>
                    <a:ext cx="1905000" cy="752475"/>
                  </a:xfrm>
                  <a:prstGeom prst="rect">
                    <a:avLst/>
                  </a:prstGeom>
                </pic:spPr>
              </pic:pic>
            </a:graphicData>
          </a:graphic>
        </wp:inline>
      </w:drawing>
    </w:r>
  </w:p>
  <w:p>
    <w:pPr>
      <w:pStyle w:val="Header"/>
      <w:jc w:val="center"/>
      <w:rPr/>
    </w:pPr>
    <w:r>
      <w:rPr/>
    </w:r>
  </w:p>
  <w:p>
    <w:pPr>
      <w:pStyle w:val="Header"/>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1905000" cy="752475"/>
          <wp:effectExtent l="0" t="0" r="0" b="0"/>
          <wp:docPr id="2" name="Immagin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3" descr=""/>
                  <pic:cNvPicPr>
                    <a:picLocks noChangeAspect="1" noChangeArrowheads="1"/>
                  </pic:cNvPicPr>
                </pic:nvPicPr>
                <pic:blipFill>
                  <a:blip r:embed="rId1"/>
                  <a:stretch>
                    <a:fillRect/>
                  </a:stretch>
                </pic:blipFill>
                <pic:spPr bwMode="auto">
                  <a:xfrm>
                    <a:off x="0" y="0"/>
                    <a:ext cx="1905000" cy="752475"/>
                  </a:xfrm>
                  <a:prstGeom prst="rect">
                    <a:avLst/>
                  </a:prstGeom>
                </pic:spPr>
              </pic:pic>
            </a:graphicData>
          </a:graphic>
        </wp:inline>
      </w:drawing>
    </w:r>
  </w:p>
  <w:p>
    <w:pPr>
      <w:pStyle w:val="Header"/>
      <w:jc w:val="center"/>
      <w:rPr/>
    </w:pPr>
    <w:r>
      <w:rPr/>
    </w:r>
  </w:p>
  <w:p>
    <w:pPr>
      <w:pStyle w:val="Header"/>
      <w:jc w:val="cent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1905000" cy="752475"/>
          <wp:effectExtent l="0" t="0" r="0" b="0"/>
          <wp:docPr id="3" name="Immagin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1" descr=""/>
                  <pic:cNvPicPr>
                    <a:picLocks noChangeAspect="1" noChangeArrowheads="1"/>
                  </pic:cNvPicPr>
                </pic:nvPicPr>
                <pic:blipFill>
                  <a:blip r:embed="rId1"/>
                  <a:stretch>
                    <a:fillRect/>
                  </a:stretch>
                </pic:blipFill>
                <pic:spPr bwMode="auto">
                  <a:xfrm>
                    <a:off x="0" y="0"/>
                    <a:ext cx="1905000" cy="752475"/>
                  </a:xfrm>
                  <a:prstGeom prst="rect">
                    <a:avLst/>
                  </a:prstGeom>
                </pic:spPr>
              </pic:pic>
            </a:graphicData>
          </a:graphic>
        </wp:inline>
      </w:drawing>
    </w:r>
  </w:p>
  <w:p>
    <w:pPr>
      <w:pStyle w:val="Header"/>
      <w:jc w:val="center"/>
      <w:rPr/>
    </w:pPr>
    <w:r>
      <w:rPr/>
    </w:r>
  </w:p>
  <w:p>
    <w:pPr>
      <w:pStyle w:val="Header"/>
      <w:jc w:val="cent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1905000" cy="752475"/>
          <wp:effectExtent l="0" t="0" r="0" b="0"/>
          <wp:docPr id="4" name="Immagin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1" descr=""/>
                  <pic:cNvPicPr>
                    <a:picLocks noChangeAspect="1" noChangeArrowheads="1"/>
                  </pic:cNvPicPr>
                </pic:nvPicPr>
                <pic:blipFill>
                  <a:blip r:embed="rId1"/>
                  <a:stretch>
                    <a:fillRect/>
                  </a:stretch>
                </pic:blipFill>
                <pic:spPr bwMode="auto">
                  <a:xfrm>
                    <a:off x="0" y="0"/>
                    <a:ext cx="1905000" cy="752475"/>
                  </a:xfrm>
                  <a:prstGeom prst="rect">
                    <a:avLst/>
                  </a:prstGeom>
                </pic:spPr>
              </pic:pic>
            </a:graphicData>
          </a:graphic>
        </wp:inline>
      </w:drawing>
    </w:r>
  </w:p>
  <w:p>
    <w:pPr>
      <w:pStyle w:val="Header"/>
      <w:jc w:val="center"/>
      <w:rPr/>
    </w:pPr>
    <w:r>
      <w:rPr/>
    </w:r>
  </w:p>
  <w:p>
    <w:pPr>
      <w:pStyle w:val="Header"/>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97" w:hanging="360"/>
      </w:pPr>
      <w:rPr/>
    </w:lvl>
    <w:lvl w:ilvl="1">
      <w:start w:val="1"/>
      <w:numFmt w:val="decimal"/>
      <w:lvlText w:val="%1.%2"/>
      <w:lvlJc w:val="left"/>
      <w:pPr>
        <w:tabs>
          <w:tab w:val="num" w:pos="0"/>
        </w:tabs>
        <w:ind w:left="804" w:hanging="367"/>
      </w:pPr>
      <w:rPr/>
    </w:lvl>
    <w:lvl w:ilvl="2">
      <w:start w:val="0"/>
      <w:numFmt w:val="bullet"/>
      <w:lvlText w:val="●"/>
      <w:lvlJc w:val="left"/>
      <w:pPr>
        <w:tabs>
          <w:tab w:val="num" w:pos="0"/>
        </w:tabs>
        <w:ind w:left="797" w:hanging="367"/>
      </w:pPr>
      <w:rPr>
        <w:rFonts w:ascii="Noto Sans Symbols" w:hAnsi="Noto Sans Symbols" w:cs="Noto Sans Symbols" w:hint="default"/>
        <w:sz w:val="20"/>
        <w:i w:val="false"/>
        <w:b w:val="false"/>
        <w:szCs w:val="20"/>
        <w:iCs w:val="false"/>
        <w:bCs w:val="false"/>
      </w:rPr>
    </w:lvl>
    <w:lvl w:ilvl="3">
      <w:start w:val="0"/>
      <w:numFmt w:val="bullet"/>
      <w:lvlText w:val=""/>
      <w:lvlJc w:val="left"/>
      <w:pPr>
        <w:tabs>
          <w:tab w:val="num" w:pos="0"/>
        </w:tabs>
        <w:ind w:left="3877" w:hanging="368"/>
      </w:pPr>
      <w:rPr>
        <w:rFonts w:ascii="Symbol" w:hAnsi="Symbol" w:cs="Symbol" w:hint="default"/>
      </w:rPr>
    </w:lvl>
    <w:lvl w:ilvl="4">
      <w:start w:val="0"/>
      <w:numFmt w:val="bullet"/>
      <w:lvlText w:val=""/>
      <w:lvlJc w:val="left"/>
      <w:pPr>
        <w:tabs>
          <w:tab w:val="num" w:pos="0"/>
        </w:tabs>
        <w:ind w:left="4902" w:hanging="368"/>
      </w:pPr>
      <w:rPr>
        <w:rFonts w:ascii="Symbol" w:hAnsi="Symbol" w:cs="Symbol" w:hint="default"/>
      </w:rPr>
    </w:lvl>
    <w:lvl w:ilvl="5">
      <w:start w:val="0"/>
      <w:numFmt w:val="bullet"/>
      <w:lvlText w:val=""/>
      <w:lvlJc w:val="left"/>
      <w:pPr>
        <w:tabs>
          <w:tab w:val="num" w:pos="0"/>
        </w:tabs>
        <w:ind w:left="5928" w:hanging="368"/>
      </w:pPr>
      <w:rPr>
        <w:rFonts w:ascii="Symbol" w:hAnsi="Symbol" w:cs="Symbol" w:hint="default"/>
      </w:rPr>
    </w:lvl>
    <w:lvl w:ilvl="6">
      <w:start w:val="0"/>
      <w:numFmt w:val="bullet"/>
      <w:lvlText w:val=""/>
      <w:lvlJc w:val="left"/>
      <w:pPr>
        <w:tabs>
          <w:tab w:val="num" w:pos="0"/>
        </w:tabs>
        <w:ind w:left="6954" w:hanging="368"/>
      </w:pPr>
      <w:rPr>
        <w:rFonts w:ascii="Symbol" w:hAnsi="Symbol" w:cs="Symbol" w:hint="default"/>
      </w:rPr>
    </w:lvl>
    <w:lvl w:ilvl="7">
      <w:start w:val="0"/>
      <w:numFmt w:val="bullet"/>
      <w:lvlText w:val=""/>
      <w:lvlJc w:val="left"/>
      <w:pPr>
        <w:tabs>
          <w:tab w:val="num" w:pos="0"/>
        </w:tabs>
        <w:ind w:left="7980" w:hanging="368"/>
      </w:pPr>
      <w:rPr>
        <w:rFonts w:ascii="Symbol" w:hAnsi="Symbol" w:cs="Symbol" w:hint="default"/>
      </w:rPr>
    </w:lvl>
    <w:lvl w:ilvl="8">
      <w:start w:val="0"/>
      <w:numFmt w:val="bullet"/>
      <w:lvlText w:val=""/>
      <w:lvlJc w:val="left"/>
      <w:pPr>
        <w:tabs>
          <w:tab w:val="num" w:pos="0"/>
        </w:tabs>
        <w:ind w:left="9005" w:hanging="368"/>
      </w:pPr>
      <w:rPr>
        <w:rFonts w:ascii="Symbol" w:hAnsi="Symbol" w:cs="Symbol" w:hint="default"/>
      </w:rPr>
    </w:lvl>
  </w:abstractNum>
  <w:abstractNum w:abstractNumId="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5">
    <w:lvl w:ilvl="0">
      <w:numFmt w:val="bullet"/>
      <w:lvlText w:val="-"/>
      <w:lvlJc w:val="left"/>
      <w:pPr>
        <w:tabs>
          <w:tab w:val="num" w:pos="0"/>
        </w:tabs>
        <w:ind w:left="1157" w:hanging="360"/>
      </w:pPr>
      <w:rPr>
        <w:rFonts w:ascii="Calibri" w:hAnsi="Calibri" w:cs="Calibri" w:hint="default"/>
        <w:sz w:val="22"/>
        <w:i w:val="false"/>
        <w:b w:val="false"/>
        <w:szCs w:val="22"/>
        <w:iCs w:val="false"/>
        <w:bCs w:val="false"/>
      </w:rPr>
    </w:lvl>
    <w:lvl w:ilvl="1">
      <w:start w:val="0"/>
      <w:numFmt w:val="bullet"/>
      <w:lvlText w:val=""/>
      <w:lvlJc w:val="left"/>
      <w:pPr>
        <w:tabs>
          <w:tab w:val="num" w:pos="0"/>
        </w:tabs>
        <w:ind w:left="2221" w:hanging="360"/>
      </w:pPr>
      <w:rPr>
        <w:rFonts w:ascii="Symbol" w:hAnsi="Symbol" w:cs="Symbol" w:hint="default"/>
      </w:rPr>
    </w:lvl>
    <w:lvl w:ilvl="2">
      <w:start w:val="0"/>
      <w:numFmt w:val="bullet"/>
      <w:lvlText w:val=""/>
      <w:lvlJc w:val="left"/>
      <w:pPr>
        <w:tabs>
          <w:tab w:val="num" w:pos="0"/>
        </w:tabs>
        <w:ind w:left="3283" w:hanging="360"/>
      </w:pPr>
      <w:rPr>
        <w:rFonts w:ascii="Symbol" w:hAnsi="Symbol" w:cs="Symbol" w:hint="default"/>
      </w:rPr>
    </w:lvl>
    <w:lvl w:ilvl="3">
      <w:start w:val="0"/>
      <w:numFmt w:val="bullet"/>
      <w:lvlText w:val=""/>
      <w:lvlJc w:val="left"/>
      <w:pPr>
        <w:tabs>
          <w:tab w:val="num" w:pos="0"/>
        </w:tabs>
        <w:ind w:left="4345" w:hanging="360"/>
      </w:pPr>
      <w:rPr>
        <w:rFonts w:ascii="Symbol" w:hAnsi="Symbol" w:cs="Symbol" w:hint="default"/>
      </w:rPr>
    </w:lvl>
    <w:lvl w:ilvl="4">
      <w:start w:val="0"/>
      <w:numFmt w:val="bullet"/>
      <w:lvlText w:val=""/>
      <w:lvlJc w:val="left"/>
      <w:pPr>
        <w:tabs>
          <w:tab w:val="num" w:pos="0"/>
        </w:tabs>
        <w:ind w:left="5406" w:hanging="360"/>
      </w:pPr>
      <w:rPr>
        <w:rFonts w:ascii="Symbol" w:hAnsi="Symbol" w:cs="Symbol" w:hint="default"/>
      </w:rPr>
    </w:lvl>
    <w:lvl w:ilvl="5">
      <w:start w:val="0"/>
      <w:numFmt w:val="bullet"/>
      <w:lvlText w:val=""/>
      <w:lvlJc w:val="left"/>
      <w:pPr>
        <w:tabs>
          <w:tab w:val="num" w:pos="0"/>
        </w:tabs>
        <w:ind w:left="6468" w:hanging="360"/>
      </w:pPr>
      <w:rPr>
        <w:rFonts w:ascii="Symbol" w:hAnsi="Symbol" w:cs="Symbol" w:hint="default"/>
      </w:rPr>
    </w:lvl>
    <w:lvl w:ilvl="6">
      <w:start w:val="0"/>
      <w:numFmt w:val="bullet"/>
      <w:lvlText w:val=""/>
      <w:lvlJc w:val="left"/>
      <w:pPr>
        <w:tabs>
          <w:tab w:val="num" w:pos="0"/>
        </w:tabs>
        <w:ind w:left="7530" w:hanging="360"/>
      </w:pPr>
      <w:rPr>
        <w:rFonts w:ascii="Symbol" w:hAnsi="Symbol" w:cs="Symbol" w:hint="default"/>
      </w:rPr>
    </w:lvl>
    <w:lvl w:ilvl="7">
      <w:start w:val="0"/>
      <w:numFmt w:val="bullet"/>
      <w:lvlText w:val=""/>
      <w:lvlJc w:val="left"/>
      <w:pPr>
        <w:tabs>
          <w:tab w:val="num" w:pos="0"/>
        </w:tabs>
        <w:ind w:left="8592" w:hanging="360"/>
      </w:pPr>
      <w:rPr>
        <w:rFonts w:ascii="Symbol" w:hAnsi="Symbol" w:cs="Symbol" w:hint="default"/>
      </w:rPr>
    </w:lvl>
    <w:lvl w:ilvl="8">
      <w:start w:val="0"/>
      <w:numFmt w:val="bullet"/>
      <w:lvlText w:val=""/>
      <w:lvlJc w:val="left"/>
      <w:pPr>
        <w:tabs>
          <w:tab w:val="num" w:pos="0"/>
        </w:tabs>
        <w:ind w:left="9653" w:hanging="360"/>
      </w:pPr>
      <w:rPr>
        <w:rFonts w:ascii="Symbol" w:hAnsi="Symbol" w:cs="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revisionView w:insDel="0" w:formatting="0"/>
  <w:embedSystemFonts/>
  <w:defaultTabStop w:val="709"/>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ja-JP"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rebuchet MS" w:hAnsi="Trebuchet MS" w:eastAsia="NSimSun" w:cs="Arial Unicode MS"/>
      <w:color w:val="auto"/>
      <w:kern w:val="2"/>
      <w:sz w:val="24"/>
      <w:szCs w:val="24"/>
      <w:lang w:val="it-IT" w:eastAsia="zh-CN" w:bidi="hi-IN"/>
    </w:rPr>
  </w:style>
  <w:style w:type="paragraph" w:styleId="Heading1">
    <w:name w:val="Heading 1"/>
    <w:basedOn w:val="Normal"/>
    <w:next w:val="Normal"/>
    <w:qFormat/>
    <w:pPr>
      <w:ind w:hanging="359" w:left="796"/>
      <w:outlineLvl w:val="0"/>
    </w:pPr>
    <w:rPr>
      <w:b/>
      <w:bCs/>
      <w:u w:val="single"/>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TestofumettoCarattere" w:customStyle="1">
    <w:name w:val="Testo fumetto Carattere"/>
    <w:link w:val="BalloonText"/>
    <w:uiPriority w:val="99"/>
    <w:semiHidden/>
    <w:qFormat/>
    <w:rsid w:val="0070330e"/>
    <w:rPr>
      <w:rFonts w:ascii="Segoe UI" w:hAnsi="Segoe UI" w:eastAsia="NSimSun" w:cs="Mangal"/>
      <w:kern w:val="2"/>
      <w:sz w:val="18"/>
      <w:szCs w:val="16"/>
      <w:lang w:eastAsia="zh-CN" w:bidi="hi-IN"/>
    </w:rPr>
  </w:style>
  <w:style w:type="character" w:styleId="Annotationreference">
    <w:name w:val="annotation reference"/>
    <w:uiPriority w:val="99"/>
    <w:semiHidden/>
    <w:unhideWhenUsed/>
    <w:qFormat/>
    <w:rsid w:val="0070330e"/>
    <w:rPr>
      <w:sz w:val="16"/>
      <w:szCs w:val="16"/>
    </w:rPr>
  </w:style>
  <w:style w:type="character" w:styleId="TestocommentoCarattere" w:customStyle="1">
    <w:name w:val="Testo commento Carattere"/>
    <w:link w:val="Annotationtext"/>
    <w:uiPriority w:val="99"/>
    <w:semiHidden/>
    <w:qFormat/>
    <w:rsid w:val="0070330e"/>
    <w:rPr>
      <w:rFonts w:ascii="Trebuchet MS" w:hAnsi="Trebuchet MS" w:eastAsia="NSimSun" w:cs="Mangal"/>
      <w:kern w:val="2"/>
      <w:szCs w:val="18"/>
      <w:lang w:eastAsia="zh-CN" w:bidi="hi-IN"/>
    </w:rPr>
  </w:style>
  <w:style w:type="character" w:styleId="SoggettocommentoCarattere" w:customStyle="1">
    <w:name w:val="Soggetto commento Carattere"/>
    <w:link w:val="Annotationsubject"/>
    <w:uiPriority w:val="99"/>
    <w:semiHidden/>
    <w:qFormat/>
    <w:rsid w:val="0070330e"/>
    <w:rPr>
      <w:rFonts w:ascii="Trebuchet MS" w:hAnsi="Trebuchet MS" w:eastAsia="NSimSun" w:cs="Mangal"/>
      <w:b/>
      <w:bCs/>
      <w:kern w:val="2"/>
      <w:szCs w:val="18"/>
      <w:lang w:eastAsia="zh-CN" w:bidi="hi-IN"/>
    </w:rPr>
  </w:style>
  <w:style w:type="character" w:styleId="LineNumber">
    <w:name w:val="Line Number"/>
    <w:rPr/>
  </w:style>
  <w:style w:type="character" w:styleId="Punti">
    <w:name w:val="Punti"/>
    <w:qFormat/>
    <w:rPr>
      <w:rFonts w:ascii="OpenSymbol" w:hAnsi="OpenSymbol" w:eastAsia="OpenSymbol" w:cs="OpenSymbol"/>
    </w:rPr>
  </w:style>
  <w:style w:type="character" w:styleId="FollowedHyperlink">
    <w:name w:val="FollowedHyperlink"/>
    <w:rPr>
      <w:color w:val="800000"/>
      <w:u w:val="single"/>
    </w:rPr>
  </w:style>
  <w:style w:type="character" w:styleId="Linenumber1">
    <w:name w:val="line number1"/>
    <w:qFormat/>
    <w:rPr/>
  </w:style>
  <w:style w:type="paragraph" w:styleId="Titolo">
    <w:name w:val="Titolo"/>
    <w:basedOn w:val="Normal"/>
    <w:next w:val="BodyText"/>
    <w:qFormat/>
    <w:pPr>
      <w:keepNext w:val="true"/>
      <w:spacing w:before="240" w:after="120"/>
    </w:pPr>
    <w:rPr>
      <w:rFonts w:ascii="Trebuchet MS" w:hAnsi="Trebuchet MS" w:eastAsia="Microsoft YaHei" w:cs="Arial Unicode MS"/>
      <w:sz w:val="20"/>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ascii="Trebuchet MS" w:hAnsi="Trebuchet MS" w:cs="Arial Unicode MS"/>
      <w:i/>
      <w:iCs/>
      <w:sz w:val="24"/>
      <w:szCs w:val="24"/>
    </w:rPr>
  </w:style>
  <w:style w:type="paragraph" w:styleId="Indice" w:customStyle="1">
    <w:name w:val="Indice"/>
    <w:basedOn w:val="Normal"/>
    <w:qFormat/>
    <w:pPr>
      <w:suppressLineNumbers/>
    </w:pPr>
    <w:rPr/>
  </w:style>
  <w:style w:type="paragraph" w:styleId="Titolo1" w:customStyle="1">
    <w:name w:val="Titolo1"/>
    <w:basedOn w:val="Normal"/>
    <w:next w:val="BodyText"/>
    <w:qFormat/>
    <w:pPr>
      <w:keepNext w:val="true"/>
      <w:spacing w:before="240" w:after="120"/>
    </w:pPr>
    <w:rPr>
      <w:rFonts w:eastAsia="Microsoft YaHei"/>
      <w:sz w:val="20"/>
      <w:szCs w:val="28"/>
    </w:rPr>
  </w:style>
  <w:style w:type="paragraph" w:styleId="Caption1">
    <w:name w:val="caption1"/>
    <w:basedOn w:val="Normal"/>
    <w:qFormat/>
    <w:pPr>
      <w:suppressLineNumbers/>
      <w:spacing w:before="120" w:after="120"/>
    </w:pPr>
    <w:rPr>
      <w:i/>
      <w:iCs/>
    </w:rPr>
  </w:style>
  <w:style w:type="paragraph" w:styleId="Paragrafoelenco1" w:customStyle="1">
    <w:name w:val="Paragrafo elenco1"/>
    <w:basedOn w:val="Normal"/>
    <w:qFormat/>
    <w:pPr>
      <w:spacing w:before="0" w:after="0"/>
      <w:ind w:left="720"/>
      <w:contextualSpacing/>
    </w:pPr>
    <w:rPr/>
  </w:style>
  <w:style w:type="paragraph" w:styleId="Intestazioneepidipagina">
    <w:name w:val="Intestazione e piè di pagina"/>
    <w:basedOn w:val="Normal"/>
    <w:qFormat/>
    <w:pPr/>
    <w:rPr/>
  </w:style>
  <w:style w:type="paragraph" w:styleId="Header">
    <w:name w:val="Header"/>
    <w:basedOn w:val="Normal"/>
    <w:pPr>
      <w:tabs>
        <w:tab w:val="clear" w:pos="709"/>
        <w:tab w:val="center" w:pos="4819" w:leader="none"/>
        <w:tab w:val="right" w:pos="9638" w:leader="none"/>
      </w:tabs>
    </w:pPr>
    <w:rPr/>
  </w:style>
  <w:style w:type="paragraph" w:styleId="Default" w:customStyle="1">
    <w:name w:val="Default"/>
    <w:qFormat/>
    <w:pPr>
      <w:widowControl w:val="false"/>
      <w:suppressAutoHyphens w:val="true"/>
      <w:bidi w:val="0"/>
      <w:spacing w:before="0" w:after="0"/>
      <w:jc w:val="left"/>
    </w:pPr>
    <w:rPr>
      <w:rFonts w:ascii="Carlito" w:hAnsi="Carlito" w:eastAsia="Arial" w:cs="Arial"/>
      <w:color w:val="000000"/>
      <w:kern w:val="0"/>
      <w:sz w:val="24"/>
      <w:szCs w:val="22"/>
      <w:lang w:val="it-IT" w:eastAsia="it-IT" w:bidi="ar-SA"/>
    </w:rPr>
  </w:style>
  <w:style w:type="paragraph" w:styleId="BalloonText">
    <w:name w:val="Balloon Text"/>
    <w:basedOn w:val="Normal"/>
    <w:link w:val="TestofumettoCarattere"/>
    <w:uiPriority w:val="99"/>
    <w:semiHidden/>
    <w:unhideWhenUsed/>
    <w:qFormat/>
    <w:rsid w:val="0070330e"/>
    <w:pPr/>
    <w:rPr>
      <w:rFonts w:ascii="Segoe UI" w:hAnsi="Segoe UI" w:cs="Mangal"/>
      <w:sz w:val="18"/>
      <w:szCs w:val="16"/>
    </w:rPr>
  </w:style>
  <w:style w:type="paragraph" w:styleId="Annotationtext">
    <w:name w:val="annotation text"/>
    <w:basedOn w:val="Normal"/>
    <w:link w:val="TestocommentoCarattere"/>
    <w:uiPriority w:val="99"/>
    <w:semiHidden/>
    <w:unhideWhenUsed/>
    <w:qFormat/>
    <w:rsid w:val="0070330e"/>
    <w:pPr/>
    <w:rPr>
      <w:rFonts w:cs="Mangal"/>
      <w:sz w:val="20"/>
      <w:szCs w:val="18"/>
    </w:rPr>
  </w:style>
  <w:style w:type="paragraph" w:styleId="Annotationsubject">
    <w:name w:val="annotation subject"/>
    <w:basedOn w:val="Annotationtext"/>
    <w:next w:val="Annotationtext"/>
    <w:link w:val="SoggettocommentoCarattere"/>
    <w:uiPriority w:val="99"/>
    <w:semiHidden/>
    <w:unhideWhenUsed/>
    <w:qFormat/>
    <w:rsid w:val="0070330e"/>
    <w:pPr/>
    <w:rPr>
      <w:b/>
      <w:bCs/>
    </w:rPr>
  </w:style>
  <w:style w:type="paragraph" w:styleId="Revision">
    <w:name w:val="Revision"/>
    <w:qFormat/>
    <w:pPr>
      <w:widowControl/>
      <w:suppressAutoHyphens w:val="false"/>
      <w:bidi w:val="0"/>
      <w:spacing w:before="0" w:after="0"/>
      <w:jc w:val="left"/>
    </w:pPr>
    <w:rPr>
      <w:rFonts w:ascii="Trebuchet MS" w:hAnsi="Trebuchet MS" w:eastAsia="NSimSun" w:cs="Mangal"/>
      <w:color w:val="auto"/>
      <w:kern w:val="2"/>
      <w:sz w:val="24"/>
      <w:szCs w:val="21"/>
      <w:lang w:val="it-IT" w:eastAsia="zh-CN" w:bidi="hi-IN"/>
    </w:rPr>
  </w:style>
  <w:style w:type="paragraph" w:styleId="Caption2">
    <w:name w:val="caption2"/>
    <w:basedOn w:val="Normal"/>
    <w:qFormat/>
    <w:pPr>
      <w:suppressLineNumbers/>
      <w:spacing w:before="120" w:after="120"/>
    </w:pPr>
    <w:rPr>
      <w:i/>
      <w:iCs/>
    </w:rPr>
  </w:style>
  <w:style w:type="paragraph" w:styleId="Title">
    <w:name w:val="Title"/>
    <w:basedOn w:val="Normal"/>
    <w:next w:val="BodyText"/>
    <w:qFormat/>
    <w:pPr>
      <w:keepNext w:val="true"/>
      <w:spacing w:before="240" w:after="120"/>
    </w:pPr>
    <w:rPr>
      <w:rFonts w:eastAsia="Microsoft YaHei"/>
      <w:sz w:val="20"/>
      <w:szCs w:val="28"/>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urban-initiative.eu/calls-proposals/fourth-call-proposals-innovative-actions" TargetMode="External"/><Relationship Id="rId3" Type="http://schemas.openxmlformats.org/officeDocument/2006/relationships/hyperlink" Target="https://istanze.comune.reggioemilia.it/rwe2/module_preview.jsp?MODULE_TAG=PROG_010"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header" Target="header4.xml"/><Relationship Id="rId8" Type="http://schemas.openxmlformats.org/officeDocument/2006/relationships/header" Target="header5.xml"/><Relationship Id="rId9" Type="http://schemas.openxmlformats.org/officeDocument/2006/relationships/header" Target="header6.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_rels/header5.xml.rels><?xml version="1.0" encoding="UTF-8"?>
<Relationships xmlns="http://schemas.openxmlformats.org/package/2006/relationships"><Relationship Id="rId1" Type="http://schemas.openxmlformats.org/officeDocument/2006/relationships/image" Target="media/image1.png"/>
</Relationships>
</file>

<file path=word/_rels/header6.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81</TotalTime>
  <Application>LibreOffice/7.6.4.1$Windows_X86_64 LibreOffice_project/e19e193f88cd6c0525a17fb7a176ed8e6a3e2aa1</Application>
  <AppVersion>15.0000</AppVersion>
  <Pages>11</Pages>
  <Words>4507</Words>
  <Characters>28117</Characters>
  <CharactersWithSpaces>32459</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2026-04-27T16:41:00Z</dcterms:created>
  <dc:creator>Marina Ferretti</dc:creator>
  <dc:description/>
  <dc:language>it-IT</dc:language>
  <cp:lastModifiedBy>Marina Ferretti</cp:lastModifiedBy>
  <cp:lastPrinted>2026-04-29T10:05:01Z</cp:lastPrinted>
  <dcterms:modified xsi:type="dcterms:W3CDTF">2026-04-30T09:24:45Z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file>